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4b-e</w:t>
      </w:r>
      <w:r>
        <w:rPr>
          <w:rFonts w:hint="eastAsia" w:cs="Arial"/>
          <w:bCs/>
          <w:sz w:val="22"/>
          <w:szCs w:val="22"/>
          <w:lang w:eastAsia="zh-CN"/>
        </w:rPr>
        <w:t xml:space="preserve">                                             R1-2102499</w:t>
      </w:r>
    </w:p>
    <w:p>
      <w:pPr>
        <w:tabs>
          <w:tab w:val="center" w:pos="4536"/>
          <w:tab w:val="right" w:pos="9072"/>
        </w:tabs>
        <w:rPr>
          <w:rFonts w:ascii="Arial" w:hAnsi="Arial" w:eastAsia="MS Mincho" w:cs="Arial"/>
          <w:b/>
          <w:bCs/>
          <w:sz w:val="22"/>
          <w:szCs w:val="22"/>
          <w:lang w:eastAsia="ja-JP"/>
        </w:rPr>
      </w:pPr>
      <w:r>
        <w:rPr>
          <w:rFonts w:ascii="Arial" w:hAnsi="Arial" w:eastAsia="MS Mincho" w:cs="Arial"/>
          <w:b/>
          <w:bCs/>
          <w:sz w:val="22"/>
          <w:szCs w:val="22"/>
          <w:lang w:eastAsia="ja-JP"/>
        </w:rPr>
        <w:t>e-Meeting, April 12</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20</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2021</w:t>
      </w:r>
    </w:p>
    <w:p>
      <w:pPr>
        <w:tabs>
          <w:tab w:val="center" w:pos="4536"/>
          <w:tab w:val="right" w:pos="9072"/>
        </w:tabs>
      </w:pP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b/>
          <w:lang w:val="en-US"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joint channel estimation for PUSCH</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8.1.3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bidi w:val="0"/>
      </w:pPr>
      <w:r>
        <w:rPr>
          <w:rFonts w:hint="eastAsia"/>
          <w:lang w:val="en-US" w:eastAsia="zh-CN"/>
        </w:rPr>
        <w:t xml:space="preserve">In RAN1#104-e, </w:t>
      </w:r>
      <w:r>
        <w:rPr>
          <w:rFonts w:hint="default" w:ascii="Times New Roman" w:hAnsi="Times New Roman" w:cs="Times New Roman"/>
          <w:color w:val="auto"/>
          <w:sz w:val="20"/>
          <w:szCs w:val="20"/>
          <w:lang w:eastAsia="ko-KR"/>
        </w:rPr>
        <w:t>joint channel estimation for PUSCH</w:t>
      </w:r>
      <w:r>
        <w:rPr>
          <w:rFonts w:hint="eastAsia"/>
          <w:lang w:val="en-US" w:eastAsia="zh-CN"/>
        </w:rPr>
        <w:t xml:space="preserve"> was discussed with reaching the following agreements [1][2].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topLinePunct w:val="0"/>
              <w:autoSpaceDE w:val="0"/>
              <w:autoSpaceDN w:val="0"/>
              <w:bidi w:val="0"/>
              <w:snapToGrid w:val="0"/>
              <w:spacing w:before="120" w:line="240" w:lineRule="auto"/>
              <w:rPr>
                <w:rFonts w:hint="default" w:ascii="Times New Roman" w:hAnsi="Times New Roman" w:eastAsia="宋体" w:cs="Times New Roman"/>
                <w:color w:val="auto"/>
                <w:sz w:val="20"/>
                <w:szCs w:val="20"/>
              </w:rPr>
            </w:pPr>
            <w:r>
              <w:rPr>
                <w:rFonts w:hint="default" w:ascii="Times New Roman" w:hAnsi="Times New Roman" w:cs="Times New Roman"/>
                <w:color w:val="auto"/>
                <w:sz w:val="20"/>
                <w:szCs w:val="20"/>
                <w:highlight w:val="green"/>
              </w:rPr>
              <w:t>Agreements:</w:t>
            </w:r>
          </w:p>
          <w:p>
            <w:pPr>
              <w:pStyle w:val="114"/>
              <w:keepNext w:val="0"/>
              <w:keepLines w:val="0"/>
              <w:pageBreakBefore w:val="0"/>
              <w:widowControl/>
              <w:numPr>
                <w:ilvl w:val="0"/>
                <w:numId w:val="10"/>
              </w:numPr>
              <w:kinsoku/>
              <w:wordWrap/>
              <w:topLinePunct w:val="0"/>
              <w:autoSpaceDE w:val="0"/>
              <w:autoSpaceDN w:val="0"/>
              <w:bidi w:val="0"/>
              <w:snapToGrid w:val="0"/>
              <w:spacing w:before="120" w:after="120" w:line="240" w:lineRule="auto"/>
              <w:ind w:leftChars="0"/>
              <w:jc w:val="both"/>
              <w:rPr>
                <w:rFonts w:hint="default" w:ascii="Times New Roman" w:hAnsi="Times New Roman" w:eastAsia="宋体" w:cs="Times New Roman"/>
                <w:color w:val="auto"/>
                <w:sz w:val="20"/>
                <w:szCs w:val="20"/>
                <w:lang w:eastAsia="ko-KR"/>
              </w:rPr>
            </w:pPr>
            <w:r>
              <w:rPr>
                <w:rFonts w:hint="default" w:ascii="Times New Roman" w:hAnsi="Times New Roman" w:cs="Times New Roman"/>
                <w:color w:val="auto"/>
                <w:sz w:val="20"/>
                <w:szCs w:val="20"/>
                <w:lang w:eastAsia="ko-KR"/>
              </w:rPr>
              <w:t>Following potential use cases are considered for joint channel estimation for PUSCH:</w:t>
            </w:r>
          </w:p>
          <w:p>
            <w:pPr>
              <w:pStyle w:val="114"/>
              <w:keepNext w:val="0"/>
              <w:keepLines w:val="0"/>
              <w:pageBreakBefore w:val="0"/>
              <w:widowControl/>
              <w:numPr>
                <w:ilvl w:val="1"/>
                <w:numId w:val="11"/>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lang w:val="en-US" w:eastAsia="ko-KR"/>
              </w:rPr>
            </w:pPr>
            <w:r>
              <w:rPr>
                <w:rFonts w:hint="default" w:ascii="Times New Roman" w:hAnsi="Times New Roman" w:cs="Times New Roman"/>
                <w:color w:val="auto"/>
                <w:sz w:val="20"/>
                <w:szCs w:val="20"/>
                <w:lang w:eastAsia="ko-KR"/>
              </w:rPr>
              <w:t>Use case 1: back-to-back PUSCH transmissions within one slot.</w:t>
            </w:r>
          </w:p>
          <w:p>
            <w:pPr>
              <w:pStyle w:val="114"/>
              <w:keepNext w:val="0"/>
              <w:keepLines w:val="0"/>
              <w:pageBreakBefore w:val="0"/>
              <w:widowControl/>
              <w:numPr>
                <w:ilvl w:val="1"/>
                <w:numId w:val="11"/>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lang w:eastAsia="ko-KR"/>
              </w:rPr>
            </w:pPr>
            <w:r>
              <w:rPr>
                <w:rFonts w:hint="default" w:ascii="Times New Roman" w:hAnsi="Times New Roman" w:cs="Times New Roman"/>
                <w:color w:val="auto"/>
                <w:sz w:val="20"/>
                <w:szCs w:val="20"/>
                <w:lang w:eastAsia="ko-KR"/>
              </w:rPr>
              <w:t>Use case 2: non-back-to-back PUSCH transmissions within one slot.</w:t>
            </w:r>
          </w:p>
          <w:p>
            <w:pPr>
              <w:pStyle w:val="114"/>
              <w:keepNext w:val="0"/>
              <w:keepLines w:val="0"/>
              <w:pageBreakBefore w:val="0"/>
              <w:widowControl/>
              <w:numPr>
                <w:ilvl w:val="1"/>
                <w:numId w:val="11"/>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lang w:eastAsia="ko-KR"/>
              </w:rPr>
            </w:pPr>
            <w:r>
              <w:rPr>
                <w:rFonts w:hint="default" w:ascii="Times New Roman" w:hAnsi="Times New Roman" w:cs="Times New Roman"/>
                <w:color w:val="auto"/>
                <w:sz w:val="20"/>
                <w:szCs w:val="20"/>
                <w:lang w:eastAsia="ko-KR"/>
              </w:rPr>
              <w:t>Use case 3: back-to-back PUSCH transmissions across consecutive slots.</w:t>
            </w:r>
          </w:p>
          <w:p>
            <w:pPr>
              <w:pStyle w:val="114"/>
              <w:keepNext w:val="0"/>
              <w:keepLines w:val="0"/>
              <w:pageBreakBefore w:val="0"/>
              <w:widowControl/>
              <w:numPr>
                <w:ilvl w:val="1"/>
                <w:numId w:val="11"/>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lang w:eastAsia="ko-KR"/>
              </w:rPr>
            </w:pPr>
            <w:r>
              <w:rPr>
                <w:rFonts w:hint="default" w:ascii="Times New Roman" w:hAnsi="Times New Roman" w:cs="Times New Roman"/>
                <w:color w:val="auto"/>
                <w:sz w:val="20"/>
                <w:szCs w:val="20"/>
                <w:lang w:eastAsia="ko-KR"/>
              </w:rPr>
              <w:t>Use case 4: non-back-to-back PUSCH transmissions across consecutive slots.</w:t>
            </w:r>
          </w:p>
          <w:p>
            <w:pPr>
              <w:pStyle w:val="114"/>
              <w:keepNext w:val="0"/>
              <w:keepLines w:val="0"/>
              <w:pageBreakBefore w:val="0"/>
              <w:widowControl/>
              <w:numPr>
                <w:ilvl w:val="1"/>
                <w:numId w:val="11"/>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lang w:eastAsia="ko-KR"/>
              </w:rPr>
            </w:pPr>
            <w:r>
              <w:rPr>
                <w:rFonts w:hint="default" w:ascii="Times New Roman" w:hAnsi="Times New Roman" w:cs="Times New Roman"/>
                <w:color w:val="auto"/>
                <w:sz w:val="20"/>
                <w:szCs w:val="20"/>
                <w:lang w:eastAsia="ko-KR"/>
              </w:rPr>
              <w:t>Use case 5: PUSCH transmissions across non-consecutive slots.</w:t>
            </w:r>
          </w:p>
          <w:p>
            <w:pPr>
              <w:keepNext w:val="0"/>
              <w:keepLines w:val="0"/>
              <w:pageBreakBefore w:val="0"/>
              <w:widowControl/>
              <w:kinsoku/>
              <w:wordWrap/>
              <w:topLinePunct w:val="0"/>
              <w:autoSpaceDE w:val="0"/>
              <w:autoSpaceDN w:val="0"/>
              <w:bidi w:val="0"/>
              <w:snapToGrid w:val="0"/>
              <w:spacing w:before="120" w:line="240" w:lineRule="auto"/>
              <w:rPr>
                <w:rFonts w:hint="default" w:ascii="Times New Roman" w:hAnsi="Times New Roman" w:eastAsia="宋体" w:cs="Times New Roman"/>
                <w:color w:val="auto"/>
                <w:sz w:val="20"/>
                <w:szCs w:val="20"/>
              </w:rPr>
            </w:pPr>
            <w:r>
              <w:rPr>
                <w:rFonts w:hint="default" w:ascii="Times New Roman" w:hAnsi="Times New Roman" w:cs="Times New Roman"/>
                <w:color w:val="auto"/>
                <w:sz w:val="20"/>
                <w:szCs w:val="20"/>
                <w:lang w:eastAsia="ko-KR"/>
              </w:rPr>
              <w:t>Note: RAN1 assumes “back-to-back PUSCH transmission” has zero gap in-between adjacent PUSCH transmissions.</w:t>
            </w:r>
          </w:p>
          <w:p>
            <w:pPr>
              <w:keepNext w:val="0"/>
              <w:keepLines w:val="0"/>
              <w:pageBreakBefore w:val="0"/>
              <w:widowControl/>
              <w:kinsoku/>
              <w:wordWrap/>
              <w:overflowPunct w:val="0"/>
              <w:topLinePunct w:val="0"/>
              <w:autoSpaceDE w:val="0"/>
              <w:autoSpaceDN w:val="0"/>
              <w:bidi w:val="0"/>
              <w:snapToGrid w:val="0"/>
              <w:spacing w:before="120" w:after="120" w:line="240" w:lineRule="auto"/>
              <w:textAlignment w:val="baseline"/>
              <w:rPr>
                <w:rFonts w:hint="default" w:ascii="Times New Roman" w:hAnsi="Times New Roman" w:eastAsia="Times New Roman" w:cs="Times New Roman"/>
                <w:color w:val="auto"/>
                <w:sz w:val="20"/>
                <w:szCs w:val="20"/>
                <w:highlight w:val="green"/>
              </w:rPr>
            </w:pPr>
            <w:r>
              <w:rPr>
                <w:rFonts w:hint="default" w:ascii="Times New Roman" w:hAnsi="Times New Roman" w:cs="Times New Roman"/>
                <w:color w:val="auto"/>
                <w:sz w:val="20"/>
                <w:szCs w:val="20"/>
                <w:highlight w:val="green"/>
              </w:rPr>
              <w:t>Agreements:</w:t>
            </w:r>
          </w:p>
          <w:p>
            <w:pPr>
              <w:pStyle w:val="114"/>
              <w:keepNext w:val="0"/>
              <w:keepLines w:val="0"/>
              <w:pageBreakBefore w:val="0"/>
              <w:widowControl/>
              <w:numPr>
                <w:ilvl w:val="0"/>
                <w:numId w:val="10"/>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 xml:space="preserve">For </w:t>
            </w:r>
            <w:r>
              <w:rPr>
                <w:rFonts w:hint="default" w:ascii="Times New Roman" w:hAnsi="Times New Roman" w:cs="Times New Roman"/>
                <w:color w:val="auto"/>
                <w:sz w:val="20"/>
                <w:szCs w:val="20"/>
              </w:rPr>
              <w:t>back-to-back PUSCH transmissions across consecutive slots, support necessary design aspects (under the condition of power consistency and phase continuity) to enable joint channel estimation at least for the following case:</w:t>
            </w:r>
          </w:p>
          <w:p>
            <w:pPr>
              <w:pStyle w:val="114"/>
              <w:keepNext w:val="0"/>
              <w:keepLines w:val="0"/>
              <w:pageBreakBefore w:val="0"/>
              <w:widowControl/>
              <w:numPr>
                <w:ilvl w:val="1"/>
                <w:numId w:val="10"/>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Over back-to-back PUSCH transmissions (of the same TB) for repetition type A scheduled by dynamic grant or configured grant</w:t>
            </w:r>
          </w:p>
          <w:p>
            <w:pPr>
              <w:pStyle w:val="114"/>
              <w:keepNext w:val="0"/>
              <w:keepLines w:val="0"/>
              <w:pageBreakBefore w:val="0"/>
              <w:widowControl/>
              <w:numPr>
                <w:ilvl w:val="1"/>
                <w:numId w:val="10"/>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FFS details (including possible other cases)</w:t>
            </w:r>
          </w:p>
          <w:p>
            <w:pPr>
              <w:keepNext w:val="0"/>
              <w:keepLines w:val="0"/>
              <w:pageBreakBefore w:val="0"/>
              <w:widowControl/>
              <w:kinsoku/>
              <w:wordWrap/>
              <w:topLinePunct w:val="0"/>
              <w:autoSpaceDE w:val="0"/>
              <w:autoSpaceDN w:val="0"/>
              <w:bidi w:val="0"/>
              <w:snapToGrid w:val="0"/>
              <w:spacing w:before="120" w:line="240" w:lineRule="auto"/>
              <w:rPr>
                <w:rFonts w:hint="default" w:ascii="Times New Roman" w:hAnsi="Times New Roman" w:cs="Times New Roman"/>
                <w:color w:val="auto"/>
                <w:sz w:val="20"/>
                <w:szCs w:val="20"/>
              </w:rPr>
            </w:pPr>
            <w:r>
              <w:rPr>
                <w:rFonts w:hint="default" w:ascii="Times New Roman" w:hAnsi="Times New Roman" w:cs="Times New Roman"/>
                <w:color w:val="auto"/>
                <w:sz w:val="20"/>
                <w:szCs w:val="20"/>
                <w:highlight w:val="green"/>
              </w:rPr>
              <w:t>Agreements:</w:t>
            </w:r>
          </w:p>
          <w:p>
            <w:pPr>
              <w:pStyle w:val="114"/>
              <w:keepNext w:val="0"/>
              <w:keepLines w:val="0"/>
              <w:pageBreakBefore w:val="0"/>
              <w:widowControl/>
              <w:numPr>
                <w:ilvl w:val="0"/>
                <w:numId w:val="12"/>
              </w:numPr>
              <w:kinsoku/>
              <w:wordWrap/>
              <w:topLinePunct w:val="0"/>
              <w:autoSpaceDE w:val="0"/>
              <w:autoSpaceDN w:val="0"/>
              <w:bidi w:val="0"/>
              <w:adjustRightInd w:val="0"/>
              <w:snapToGrid w:val="0"/>
              <w:spacing w:before="120" w:after="120" w:line="240" w:lineRule="auto"/>
              <w:ind w:leftChars="0"/>
              <w:jc w:val="both"/>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rPr>
              <w:t>For joint channel estimation, a time domain window is introduced to facilitate further discussion, during which UE is expected to maintain power consistency and phase continuity among PUSCH transmissions subject to power consistency and phase continuity requirements.</w:t>
            </w:r>
          </w:p>
          <w:p>
            <w:pPr>
              <w:pStyle w:val="114"/>
              <w:keepNext w:val="0"/>
              <w:keepLines w:val="0"/>
              <w:pageBreakBefore w:val="0"/>
              <w:widowControl/>
              <w:numPr>
                <w:ilvl w:val="1"/>
                <w:numId w:val="13"/>
              </w:numPr>
              <w:kinsoku/>
              <w:wordWrap/>
              <w:topLinePunct w:val="0"/>
              <w:autoSpaceDE w:val="0"/>
              <w:autoSpaceDN w:val="0"/>
              <w:bidi w:val="0"/>
              <w:snapToGrid w:val="0"/>
              <w:spacing w:before="120" w:after="120" w:line="240" w:lineRule="auto"/>
              <w:ind w:left="780"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FFS: whether the window should be specified</w:t>
            </w:r>
          </w:p>
          <w:p>
            <w:pPr>
              <w:pStyle w:val="114"/>
              <w:keepNext w:val="0"/>
              <w:keepLines w:val="0"/>
              <w:pageBreakBefore w:val="0"/>
              <w:widowControl/>
              <w:numPr>
                <w:ilvl w:val="1"/>
                <w:numId w:val="13"/>
              </w:numPr>
              <w:kinsoku/>
              <w:wordWrap/>
              <w:topLinePunct w:val="0"/>
              <w:autoSpaceDE w:val="0"/>
              <w:autoSpaceDN w:val="0"/>
              <w:bidi w:val="0"/>
              <w:snapToGrid w:val="0"/>
              <w:spacing w:before="120" w:after="120" w:line="240" w:lineRule="auto"/>
              <w:ind w:left="780"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FFS: the length of the time domain window is defined by a set of repetitions/slots/symbols</w:t>
            </w:r>
          </w:p>
          <w:p>
            <w:pPr>
              <w:pStyle w:val="114"/>
              <w:keepNext w:val="0"/>
              <w:keepLines w:val="0"/>
              <w:pageBreakBefore w:val="0"/>
              <w:widowControl/>
              <w:numPr>
                <w:ilvl w:val="1"/>
                <w:numId w:val="13"/>
              </w:numPr>
              <w:kinsoku/>
              <w:wordWrap/>
              <w:topLinePunct w:val="0"/>
              <w:autoSpaceDE w:val="0"/>
              <w:autoSpaceDN w:val="0"/>
              <w:bidi w:val="0"/>
              <w:snapToGrid w:val="0"/>
              <w:spacing w:before="120" w:after="120" w:line="240" w:lineRule="auto"/>
              <w:ind w:left="780"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FFS: single or multiple time domain windows</w:t>
            </w:r>
          </w:p>
          <w:p>
            <w:pPr>
              <w:pStyle w:val="114"/>
              <w:keepNext w:val="0"/>
              <w:keepLines w:val="0"/>
              <w:pageBreakBefore w:val="0"/>
              <w:widowControl/>
              <w:numPr>
                <w:ilvl w:val="0"/>
                <w:numId w:val="14"/>
              </w:numPr>
              <w:kinsoku/>
              <w:wordWrap/>
              <w:topLinePunct w:val="0"/>
              <w:autoSpaceDE w:val="0"/>
              <w:autoSpaceDN w:val="0"/>
              <w:bidi w:val="0"/>
              <w:snapToGrid w:val="0"/>
              <w:spacing w:before="120" w:after="120" w:line="240" w:lineRule="auto"/>
              <w:ind w:left="780"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FFS: relation with UE capability</w:t>
            </w:r>
          </w:p>
          <w:p>
            <w:pPr>
              <w:pStyle w:val="114"/>
              <w:keepNext w:val="0"/>
              <w:keepLines w:val="0"/>
              <w:pageBreakBefore w:val="0"/>
              <w:widowControl/>
              <w:numPr>
                <w:ilvl w:val="0"/>
                <w:numId w:val="14"/>
              </w:numPr>
              <w:kinsoku/>
              <w:wordWrap/>
              <w:topLinePunct w:val="0"/>
              <w:autoSpaceDE w:val="0"/>
              <w:autoSpaceDN w:val="0"/>
              <w:bidi w:val="0"/>
              <w:snapToGrid w:val="0"/>
              <w:spacing w:before="120" w:after="120" w:line="240" w:lineRule="auto"/>
              <w:ind w:left="780"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FFS: the time domain window may or may not be configured.</w:t>
            </w:r>
          </w:p>
          <w:p>
            <w:pPr>
              <w:pStyle w:val="114"/>
              <w:keepNext w:val="0"/>
              <w:keepLines w:val="0"/>
              <w:pageBreakBefore w:val="0"/>
              <w:widowControl/>
              <w:numPr>
                <w:ilvl w:val="0"/>
                <w:numId w:val="14"/>
              </w:numPr>
              <w:kinsoku/>
              <w:wordWrap/>
              <w:topLinePunct w:val="0"/>
              <w:autoSpaceDE w:val="0"/>
              <w:autoSpaceDN w:val="0"/>
              <w:bidi w:val="0"/>
              <w:adjustRightInd w:val="0"/>
              <w:snapToGrid w:val="0"/>
              <w:spacing w:before="120" w:after="120" w:line="240" w:lineRule="auto"/>
              <w:ind w:left="780"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FFS: whether the term "time domain window" is used in the specification or replaced by other technical terms</w:t>
            </w:r>
          </w:p>
          <w:p>
            <w:pPr>
              <w:pStyle w:val="114"/>
              <w:keepNext w:val="0"/>
              <w:keepLines w:val="0"/>
              <w:pageBreakBefore w:val="0"/>
              <w:widowControl/>
              <w:numPr>
                <w:ilvl w:val="0"/>
                <w:numId w:val="14"/>
              </w:numPr>
              <w:kinsoku/>
              <w:wordWrap/>
              <w:topLinePunct w:val="0"/>
              <w:autoSpaceDE w:val="0"/>
              <w:autoSpaceDN w:val="0"/>
              <w:bidi w:val="0"/>
              <w:adjustRightInd w:val="0"/>
              <w:snapToGrid w:val="0"/>
              <w:spacing w:before="120" w:after="120" w:line="240" w:lineRule="auto"/>
              <w:ind w:left="780"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FFS: Whether the window is determined by the power consistency and phase continuity requirements and/or by other factors is to be decided.</w:t>
            </w:r>
          </w:p>
          <w:p>
            <w:pPr>
              <w:keepNext w:val="0"/>
              <w:keepLines w:val="0"/>
              <w:pageBreakBefore w:val="0"/>
              <w:widowControl/>
              <w:kinsoku/>
              <w:wordWrap/>
              <w:overflowPunct w:val="0"/>
              <w:topLinePunct w:val="0"/>
              <w:autoSpaceDE w:val="0"/>
              <w:autoSpaceDN w:val="0"/>
              <w:bidi w:val="0"/>
              <w:snapToGrid w:val="0"/>
              <w:spacing w:before="120" w:after="120" w:line="240" w:lineRule="auto"/>
              <w:textAlignment w:val="baseline"/>
              <w:rPr>
                <w:rFonts w:hint="default" w:ascii="Times New Roman" w:hAnsi="Times New Roman" w:cs="Times New Roman"/>
                <w:color w:val="auto"/>
                <w:sz w:val="20"/>
                <w:szCs w:val="20"/>
                <w:highlight w:val="green"/>
              </w:rPr>
            </w:pPr>
            <w:r>
              <w:rPr>
                <w:rFonts w:hint="default" w:ascii="Times New Roman" w:hAnsi="Times New Roman" w:cs="Times New Roman"/>
                <w:color w:val="auto"/>
                <w:sz w:val="20"/>
                <w:szCs w:val="20"/>
                <w:highlight w:val="green"/>
              </w:rPr>
              <w:t>Agreements:</w:t>
            </w:r>
          </w:p>
          <w:p>
            <w:pPr>
              <w:pStyle w:val="114"/>
              <w:keepNext w:val="0"/>
              <w:keepLines w:val="0"/>
              <w:pageBreakBefore w:val="0"/>
              <w:widowControl/>
              <w:numPr>
                <w:ilvl w:val="0"/>
                <w:numId w:val="15"/>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eastAsia="zh-CN"/>
              </w:rPr>
              <w:t>Companies are encouraged to study o</w:t>
            </w:r>
            <w:r>
              <w:rPr>
                <w:rFonts w:hint="default" w:ascii="Times New Roman" w:hAnsi="Times New Roman" w:cs="Times New Roman"/>
                <w:color w:val="auto"/>
                <w:sz w:val="20"/>
                <w:szCs w:val="20"/>
              </w:rPr>
              <w:t>ptimization of DMRS granularity in time domain with joint channel estimation, including:</w:t>
            </w:r>
          </w:p>
          <w:p>
            <w:pPr>
              <w:pStyle w:val="114"/>
              <w:keepNext w:val="0"/>
              <w:keepLines w:val="0"/>
              <w:pageBreakBefore w:val="0"/>
              <w:widowControl/>
              <w:numPr>
                <w:ilvl w:val="1"/>
                <w:numId w:val="16"/>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Use cases</w:t>
            </w:r>
          </w:p>
          <w:p>
            <w:pPr>
              <w:pStyle w:val="114"/>
              <w:keepNext w:val="0"/>
              <w:keepLines w:val="0"/>
              <w:pageBreakBefore w:val="0"/>
              <w:widowControl/>
              <w:numPr>
                <w:ilvl w:val="1"/>
                <w:numId w:val="16"/>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Simulations results</w:t>
            </w:r>
          </w:p>
          <w:p>
            <w:pPr>
              <w:pStyle w:val="114"/>
              <w:keepNext w:val="0"/>
              <w:keepLines w:val="0"/>
              <w:pageBreakBefore w:val="0"/>
              <w:widowControl/>
              <w:numPr>
                <w:ilvl w:val="1"/>
                <w:numId w:val="16"/>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Enhanced schemes, e.g.,</w:t>
            </w:r>
          </w:p>
          <w:p>
            <w:pPr>
              <w:pStyle w:val="114"/>
              <w:keepNext w:val="0"/>
              <w:keepLines w:val="0"/>
              <w:pageBreakBefore w:val="0"/>
              <w:widowControl/>
              <w:numPr>
                <w:ilvl w:val="2"/>
                <w:numId w:val="16"/>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Different DMRS density for different PUSCH transmissions</w:t>
            </w:r>
          </w:p>
          <w:p>
            <w:pPr>
              <w:pStyle w:val="114"/>
              <w:keepNext w:val="0"/>
              <w:keepLines w:val="0"/>
              <w:pageBreakBefore w:val="0"/>
              <w:widowControl/>
              <w:numPr>
                <w:ilvl w:val="2"/>
                <w:numId w:val="16"/>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No DMRS for some PUSCH transmissions</w:t>
            </w:r>
          </w:p>
          <w:p>
            <w:pPr>
              <w:pStyle w:val="114"/>
              <w:keepNext w:val="0"/>
              <w:keepLines w:val="0"/>
              <w:pageBreakBefore w:val="0"/>
              <w:widowControl/>
              <w:numPr>
                <w:ilvl w:val="1"/>
                <w:numId w:val="16"/>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If applicable, impact of dynamic changes, e.g., cancellation of a repetition and companies report the evaluation method.</w:t>
            </w:r>
          </w:p>
          <w:p>
            <w:pPr>
              <w:pStyle w:val="114"/>
              <w:keepNext w:val="0"/>
              <w:keepLines w:val="0"/>
              <w:pageBreakBefore w:val="0"/>
              <w:widowControl/>
              <w:numPr>
                <w:ilvl w:val="0"/>
                <w:numId w:val="16"/>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Companies are encouraged to study o</w:t>
            </w:r>
            <w:r>
              <w:rPr>
                <w:rFonts w:hint="default" w:ascii="Times New Roman" w:hAnsi="Times New Roman" w:cs="Times New Roman"/>
                <w:color w:val="auto"/>
                <w:sz w:val="20"/>
                <w:szCs w:val="20"/>
              </w:rPr>
              <w:t>ptimization of DMRS location in time domain with joint channel estimation, including:</w:t>
            </w:r>
          </w:p>
          <w:p>
            <w:pPr>
              <w:pStyle w:val="114"/>
              <w:keepNext w:val="0"/>
              <w:keepLines w:val="0"/>
              <w:pageBreakBefore w:val="0"/>
              <w:widowControl/>
              <w:numPr>
                <w:ilvl w:val="1"/>
                <w:numId w:val="16"/>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Use cases</w:t>
            </w:r>
          </w:p>
          <w:p>
            <w:pPr>
              <w:pStyle w:val="114"/>
              <w:keepNext w:val="0"/>
              <w:keepLines w:val="0"/>
              <w:pageBreakBefore w:val="0"/>
              <w:widowControl/>
              <w:numPr>
                <w:ilvl w:val="1"/>
                <w:numId w:val="16"/>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Simulations results</w:t>
            </w:r>
          </w:p>
          <w:p>
            <w:pPr>
              <w:pStyle w:val="114"/>
              <w:keepNext w:val="0"/>
              <w:keepLines w:val="0"/>
              <w:pageBreakBefore w:val="0"/>
              <w:widowControl/>
              <w:numPr>
                <w:ilvl w:val="1"/>
                <w:numId w:val="16"/>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Enhanced schemes, e.g.,</w:t>
            </w:r>
          </w:p>
          <w:p>
            <w:pPr>
              <w:pStyle w:val="114"/>
              <w:keepNext w:val="0"/>
              <w:keepLines w:val="0"/>
              <w:pageBreakBefore w:val="0"/>
              <w:widowControl/>
              <w:numPr>
                <w:ilvl w:val="2"/>
                <w:numId w:val="16"/>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DMRS equally spaced among PUSCH transmissions</w:t>
            </w:r>
          </w:p>
          <w:p>
            <w:pPr>
              <w:pStyle w:val="114"/>
              <w:keepNext w:val="0"/>
              <w:keepLines w:val="0"/>
              <w:pageBreakBefore w:val="0"/>
              <w:widowControl/>
              <w:numPr>
                <w:ilvl w:val="2"/>
                <w:numId w:val="16"/>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DMRS located in special slots</w:t>
            </w:r>
          </w:p>
          <w:p>
            <w:pPr>
              <w:pStyle w:val="114"/>
              <w:keepNext w:val="0"/>
              <w:keepLines w:val="0"/>
              <w:pageBreakBefore w:val="0"/>
              <w:widowControl/>
              <w:numPr>
                <w:ilvl w:val="2"/>
                <w:numId w:val="16"/>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Orphan symbol used for DMRS</w:t>
            </w:r>
          </w:p>
          <w:p>
            <w:pPr>
              <w:pStyle w:val="114"/>
              <w:keepNext w:val="0"/>
              <w:keepLines w:val="0"/>
              <w:pageBreakBefore w:val="0"/>
              <w:widowControl/>
              <w:numPr>
                <w:ilvl w:val="1"/>
                <w:numId w:val="16"/>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If applicable, impact of dynamic changes, e.g., cancellation of a repetition and companies report the evaluation method.</w:t>
            </w:r>
          </w:p>
          <w:p>
            <w:pPr>
              <w:pStyle w:val="114"/>
              <w:keepNext w:val="0"/>
              <w:keepLines w:val="0"/>
              <w:pageBreakBefore w:val="0"/>
              <w:widowControl/>
              <w:numPr>
                <w:ilvl w:val="0"/>
                <w:numId w:val="16"/>
              </w:numPr>
              <w:kinsoku/>
              <w:wordWrap/>
              <w:topLinePunct w:val="0"/>
              <w:autoSpaceDE w:val="0"/>
              <w:autoSpaceDN w:val="0"/>
              <w:bidi w:val="0"/>
              <w:adjustRightInd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Note: the simulation assumptions for DM-RS in TR 38.830 are used as baseline for performance evaluation on optimization of DMRS location/granularity in time domain.</w:t>
            </w:r>
          </w:p>
          <w:p>
            <w:pPr>
              <w:pStyle w:val="114"/>
              <w:keepNext w:val="0"/>
              <w:keepLines w:val="0"/>
              <w:pageBreakBefore w:val="0"/>
              <w:widowControl/>
              <w:numPr>
                <w:ilvl w:val="1"/>
                <w:numId w:val="16"/>
              </w:numPr>
              <w:kinsoku/>
              <w:wordWrap/>
              <w:topLinePunct w:val="0"/>
              <w:autoSpaceDE w:val="0"/>
              <w:autoSpaceDN w:val="0"/>
              <w:bidi w:val="0"/>
              <w:adjustRightInd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Take into account impairments such as frequency offset, and report corresponding parametrization together with the results. Further discuss impairment details.</w:t>
            </w:r>
          </w:p>
          <w:p>
            <w:pPr>
              <w:keepNext w:val="0"/>
              <w:keepLines w:val="0"/>
              <w:pageBreakBefore w:val="0"/>
              <w:widowControl/>
              <w:kinsoku/>
              <w:wordWrap/>
              <w:overflowPunct w:val="0"/>
              <w:topLinePunct w:val="0"/>
              <w:autoSpaceDE w:val="0"/>
              <w:autoSpaceDN w:val="0"/>
              <w:bidi w:val="0"/>
              <w:snapToGrid w:val="0"/>
              <w:spacing w:before="120" w:after="120" w:line="240" w:lineRule="auto"/>
              <w:textAlignment w:val="baseline"/>
              <w:rPr>
                <w:rFonts w:hint="default" w:ascii="Times New Roman" w:hAnsi="Times New Roman" w:cs="Times New Roman"/>
                <w:b/>
                <w:bCs/>
                <w:color w:val="auto"/>
                <w:sz w:val="20"/>
                <w:szCs w:val="20"/>
                <w:highlight w:val="darkYellow"/>
              </w:rPr>
            </w:pPr>
            <w:r>
              <w:rPr>
                <w:rFonts w:hint="default" w:ascii="Times New Roman" w:hAnsi="Times New Roman" w:cs="Times New Roman"/>
                <w:b/>
                <w:bCs/>
                <w:color w:val="auto"/>
                <w:sz w:val="20"/>
                <w:szCs w:val="20"/>
                <w:highlight w:val="darkYellow"/>
              </w:rPr>
              <w:t>Working assumption:</w:t>
            </w:r>
          </w:p>
          <w:p>
            <w:pPr>
              <w:pStyle w:val="114"/>
              <w:keepNext w:val="0"/>
              <w:keepLines w:val="0"/>
              <w:pageBreakBefore w:val="0"/>
              <w:widowControl/>
              <w:numPr>
                <w:ilvl w:val="0"/>
                <w:numId w:val="17"/>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eastAsia="zh-CN"/>
              </w:rPr>
              <w:t xml:space="preserve">For </w:t>
            </w:r>
            <w:r>
              <w:rPr>
                <w:rFonts w:hint="default" w:ascii="Times New Roman" w:hAnsi="Times New Roman" w:cs="Times New Roman"/>
                <w:color w:val="auto"/>
                <w:sz w:val="20"/>
                <w:szCs w:val="20"/>
              </w:rPr>
              <w:t>back-to-back PUSCH transmissions across consecutive slots, support necessary design aspects (under the condition of power consistency and phase continuity) to enable joint channel estimation for the following case:</w:t>
            </w:r>
          </w:p>
          <w:p>
            <w:pPr>
              <w:pStyle w:val="114"/>
              <w:keepNext w:val="0"/>
              <w:keepLines w:val="0"/>
              <w:pageBreakBefore w:val="0"/>
              <w:widowControl/>
              <w:numPr>
                <w:ilvl w:val="1"/>
                <w:numId w:val="17"/>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 xml:space="preserve">Over back-to-back PUSCH transmissions for </w:t>
            </w:r>
            <w:bookmarkStart w:id="4" w:name="_GoBack"/>
            <w:bookmarkEnd w:id="4"/>
            <w:r>
              <w:rPr>
                <w:rFonts w:hint="default" w:ascii="Times New Roman" w:hAnsi="Times New Roman" w:cs="Times New Roman"/>
                <w:color w:val="auto"/>
                <w:sz w:val="20"/>
                <w:szCs w:val="20"/>
              </w:rPr>
              <w:t>one TB processed over multiple slots</w:t>
            </w:r>
          </w:p>
          <w:p>
            <w:pPr>
              <w:pStyle w:val="114"/>
              <w:keepNext w:val="0"/>
              <w:keepLines w:val="0"/>
              <w:pageBreakBefore w:val="0"/>
              <w:widowControl/>
              <w:numPr>
                <w:ilvl w:val="2"/>
                <w:numId w:val="17"/>
              </w:numPr>
              <w:kinsoku/>
              <w:wordWrap/>
              <w:topLinePunct w:val="0"/>
              <w:autoSpaceDE w:val="0"/>
              <w:autoSpaceDN w:val="0"/>
              <w:bidi w:val="0"/>
              <w:snapToGrid w:val="0"/>
              <w:spacing w:before="120" w:after="120" w:line="240" w:lineRule="auto"/>
              <w:ind w:left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It’s subject to UE capability</w:t>
            </w:r>
          </w:p>
          <w:p>
            <w:pPr>
              <w:keepNext w:val="0"/>
              <w:keepLines w:val="0"/>
              <w:pageBreakBefore w:val="0"/>
              <w:widowControl/>
              <w:kinsoku/>
              <w:wordWrap/>
              <w:topLinePunct w:val="0"/>
              <w:autoSpaceDE w:val="0"/>
              <w:autoSpaceDN w:val="0"/>
              <w:bidi w:val="0"/>
              <w:snapToGrid w:val="0"/>
              <w:spacing w:before="120" w:line="240" w:lineRule="auto"/>
              <w:rPr>
                <w:rFonts w:hint="default" w:ascii="Times New Roman" w:hAnsi="Times New Roman" w:cs="Times New Roman"/>
                <w:color w:val="auto"/>
                <w:sz w:val="20"/>
                <w:szCs w:val="20"/>
              </w:rPr>
            </w:pPr>
            <w:r>
              <w:rPr>
                <w:rFonts w:hint="default" w:ascii="Times New Roman" w:hAnsi="Times New Roman" w:cs="Times New Roman"/>
                <w:color w:val="auto"/>
                <w:sz w:val="20"/>
                <w:szCs w:val="20"/>
                <w:highlight w:val="green"/>
              </w:rPr>
              <w:t>Agreements:</w:t>
            </w:r>
          </w:p>
          <w:p>
            <w:pPr>
              <w:keepNext w:val="0"/>
              <w:keepLines w:val="0"/>
              <w:pageBreakBefore w:val="0"/>
              <w:widowControl/>
              <w:numPr>
                <w:ilvl w:val="0"/>
                <w:numId w:val="18"/>
              </w:numPr>
              <w:kinsoku/>
              <w:wordWrap/>
              <w:topLinePunct w:val="0"/>
              <w:autoSpaceDE w:val="0"/>
              <w:autoSpaceDN w:val="0"/>
              <w:bidi w:val="0"/>
              <w:snapToGrid w:val="0"/>
              <w:spacing w:before="120" w:line="240" w:lineRule="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joint channel estimation.</w:t>
            </w:r>
          </w:p>
          <w:p>
            <w:pPr>
              <w:keepNext w:val="0"/>
              <w:keepLines w:val="0"/>
              <w:pageBreakBefore w:val="0"/>
              <w:widowControl/>
              <w:numPr>
                <w:ilvl w:val="1"/>
                <w:numId w:val="19"/>
              </w:numPr>
              <w:kinsoku/>
              <w:wordWrap/>
              <w:topLinePunct w:val="0"/>
              <w:autoSpaceDE w:val="0"/>
              <w:autoSpaceDN w:val="0"/>
              <w:bidi w:val="0"/>
              <w:snapToGrid w:val="0"/>
              <w:spacing w:before="120" w:line="240" w:lineRule="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Take into account the residual frequency error, e.g., +/- 0.1 ppm as upper bound. </w:t>
            </w:r>
          </w:p>
          <w:p>
            <w:pPr>
              <w:keepNext w:val="0"/>
              <w:keepLines w:val="0"/>
              <w:pageBreakBefore w:val="0"/>
              <w:widowControl/>
              <w:numPr>
                <w:ilvl w:val="1"/>
                <w:numId w:val="19"/>
              </w:numPr>
              <w:kinsoku/>
              <w:wordWrap/>
              <w:topLinePunct w:val="0"/>
              <w:autoSpaceDE w:val="0"/>
              <w:autoSpaceDN w:val="0"/>
              <w:bidi w:val="0"/>
              <w:snapToGrid w:val="0"/>
              <w:spacing w:before="120" w:line="240" w:lineRule="auto"/>
              <w:rPr>
                <w:rFonts w:hint="default" w:ascii="Times New Roman" w:hAnsi="Times New Roman" w:cs="Times New Roman"/>
                <w:color w:val="auto"/>
                <w:sz w:val="20"/>
                <w:szCs w:val="20"/>
                <w:highlight w:val="none"/>
                <w:vertAlign w:val="baseline"/>
                <w:lang w:eastAsia="zh-CN"/>
              </w:rPr>
            </w:pPr>
            <w:r>
              <w:rPr>
                <w:rFonts w:hint="default" w:ascii="Times New Roman" w:hAnsi="Times New Roman" w:cs="Times New Roman"/>
                <w:color w:val="auto"/>
                <w:sz w:val="20"/>
                <w:szCs w:val="20"/>
              </w:rPr>
              <w:t>Companies can report other values and frequency error model.</w:t>
            </w:r>
          </w:p>
        </w:tc>
      </w:tr>
    </w:tbl>
    <w:p>
      <w:pPr>
        <w:numPr>
          <w:ilvl w:val="0"/>
          <w:numId w:val="0"/>
        </w:numPr>
        <w:rPr>
          <w:rFonts w:hint="eastAsia"/>
          <w:highlight w:val="none"/>
          <w:lang w:eastAsia="zh-CN"/>
        </w:rPr>
      </w:pPr>
    </w:p>
    <w:p>
      <w:pPr>
        <w:bidi w:val="0"/>
        <w:rPr>
          <w:rFonts w:hint="default"/>
          <w:highlight w:val="none"/>
          <w:lang w:val="en-US" w:eastAsia="zh-CN"/>
        </w:rPr>
      </w:pPr>
      <w:r>
        <w:rPr>
          <w:rFonts w:hint="eastAsia"/>
          <w:highlight w:val="none"/>
          <w:lang w:eastAsia="zh-CN"/>
        </w:rPr>
        <w:t xml:space="preserve">In this contribution, we </w:t>
      </w:r>
      <w:r>
        <w:rPr>
          <w:rFonts w:hint="eastAsia"/>
          <w:highlight w:val="none"/>
          <w:lang w:val="en-US" w:eastAsia="zh-CN"/>
        </w:rPr>
        <w:t xml:space="preserve">provide our further </w:t>
      </w:r>
      <w:r>
        <w:rPr>
          <w:rStyle w:val="153"/>
          <w:rFonts w:eastAsia="宋体"/>
        </w:rPr>
        <w:t xml:space="preserve">analysis </w:t>
      </w:r>
      <w:r>
        <w:rPr>
          <w:rFonts w:hint="eastAsia"/>
          <w:highlight w:val="none"/>
          <w:lang w:val="en-US" w:eastAsia="zh-CN"/>
        </w:rPr>
        <w:t>on</w:t>
      </w:r>
      <w:r>
        <w:rPr>
          <w:rStyle w:val="153"/>
          <w:rFonts w:eastAsia="宋体"/>
        </w:rPr>
        <w:t xml:space="preserve"> </w:t>
      </w:r>
      <w:r>
        <w:rPr>
          <w:rStyle w:val="153"/>
          <w:rFonts w:hint="eastAsia" w:eastAsia="宋体"/>
          <w:lang w:val="en-US" w:eastAsia="zh-CN"/>
        </w:rPr>
        <w:t>joint channel estimation for PUSCH</w:t>
      </w:r>
      <w:r>
        <w:rPr>
          <w:rFonts w:hint="eastAsia"/>
          <w:highlight w:val="none"/>
          <w:lang w:val="en-US" w:eastAsia="zh-CN"/>
        </w:rPr>
        <w:t>.</w:t>
      </w:r>
    </w:p>
    <w:p>
      <w:pPr>
        <w:pStyle w:val="2"/>
        <w:bidi w:val="0"/>
        <w:rPr>
          <w:rFonts w:hint="eastAsia"/>
          <w:lang w:val="en-US" w:eastAsia="zh-CN"/>
        </w:rPr>
      </w:pPr>
      <w:r>
        <w:rPr>
          <w:rFonts w:hint="eastAsia"/>
          <w:lang w:val="en-US" w:eastAsia="zh-CN"/>
        </w:rPr>
        <w:t xml:space="preserve">Discussion </w:t>
      </w:r>
    </w:p>
    <w:p>
      <w:pPr>
        <w:pStyle w:val="3"/>
        <w:bidi w:val="0"/>
        <w:rPr>
          <w:rFonts w:hint="eastAsia"/>
          <w:lang w:val="en-US" w:eastAsia="zh-CN"/>
        </w:rPr>
      </w:pPr>
      <w:r>
        <w:rPr>
          <w:rFonts w:hint="eastAsia"/>
          <w:lang w:val="en-US" w:eastAsia="zh-CN"/>
        </w:rPr>
        <w:t>Use cases</w:t>
      </w:r>
    </w:p>
    <w:p>
      <w:pPr>
        <w:pStyle w:val="97"/>
        <w:rPr>
          <w:rStyle w:val="153"/>
          <w:rFonts w:hint="eastAsia" w:eastAsia="宋体"/>
          <w:lang w:val="en-US" w:eastAsia="zh-CN"/>
        </w:rPr>
      </w:pPr>
      <w:r>
        <w:rPr>
          <w:rStyle w:val="153"/>
          <w:rFonts w:hint="eastAsia" w:eastAsia="宋体"/>
          <w:lang w:val="en-US" w:eastAsia="zh-CN"/>
        </w:rPr>
        <w:t xml:space="preserve">In the RAN1#104e meeting, 5 potential use cases were agreed to be considered </w:t>
      </w:r>
      <w:r>
        <w:rPr>
          <w:rStyle w:val="153"/>
          <w:rFonts w:hint="eastAsia" w:eastAsia="宋体"/>
          <w:lang w:val="en-US" w:eastAsia="ko-KR"/>
        </w:rPr>
        <w:t>for joint channel estimation for PUSCH</w:t>
      </w:r>
      <w:r>
        <w:rPr>
          <w:rStyle w:val="153"/>
          <w:rFonts w:hint="eastAsia" w:eastAsia="宋体"/>
          <w:lang w:val="en-US" w:eastAsia="zh-CN"/>
        </w:rPr>
        <w:t>. For use case 3 (</w:t>
      </w:r>
      <w:r>
        <w:rPr>
          <w:rStyle w:val="153"/>
          <w:rFonts w:hint="default" w:eastAsia="宋体"/>
          <w:lang w:val="en-US" w:eastAsia="ko-KR"/>
        </w:rPr>
        <w:t>back-to-back PUSCH transmissions across consecutive slots</w:t>
      </w:r>
      <w:r>
        <w:rPr>
          <w:rStyle w:val="153"/>
          <w:rFonts w:hint="eastAsia" w:eastAsia="宋体"/>
          <w:lang w:val="en-US" w:eastAsia="zh-CN"/>
        </w:rPr>
        <w:t xml:space="preserve">), RAN1 has agreed to support joint channel estimation in case of over back-to-back PUSCH transmissions (of the same TB) across consecutive slots for repetition type A scheduled by dynamic grant or configured grant, or over back-to-back PUSCH transmissions for one TB processed over consecutive slots (as a working assumption). </w:t>
      </w:r>
    </w:p>
    <w:p>
      <w:pPr>
        <w:pStyle w:val="97"/>
        <w:rPr>
          <w:rStyle w:val="153"/>
          <w:rFonts w:hint="default" w:eastAsia="宋体"/>
          <w:lang w:val="en-US" w:eastAsia="zh-CN"/>
        </w:rPr>
      </w:pPr>
      <w:r>
        <w:rPr>
          <w:rStyle w:val="153"/>
          <w:rFonts w:hint="eastAsia" w:eastAsia="宋体"/>
          <w:lang w:val="en-US" w:eastAsia="zh-CN"/>
        </w:rPr>
        <w:t xml:space="preserve">Regarding </w:t>
      </w:r>
      <w:r>
        <w:rPr>
          <w:rStyle w:val="153"/>
          <w:rFonts w:hint="eastAsia"/>
          <w:lang w:val="en-US" w:eastAsia="zh-CN"/>
        </w:rPr>
        <w:t>u</w:t>
      </w:r>
      <w:r>
        <w:rPr>
          <w:rStyle w:val="153"/>
          <w:rFonts w:hint="eastAsia" w:eastAsia="宋体"/>
          <w:lang w:val="en-US" w:eastAsia="ko-KR"/>
        </w:rPr>
        <w:t>se case 1</w:t>
      </w:r>
      <w:r>
        <w:rPr>
          <w:rStyle w:val="153"/>
          <w:rFonts w:hint="eastAsia"/>
          <w:lang w:val="en-US" w:eastAsia="zh-CN"/>
        </w:rPr>
        <w:t xml:space="preserve"> (</w:t>
      </w:r>
      <w:r>
        <w:rPr>
          <w:rStyle w:val="153"/>
          <w:rFonts w:hint="eastAsia" w:eastAsia="宋体"/>
          <w:lang w:val="en-US" w:eastAsia="ko-KR"/>
        </w:rPr>
        <w:t>back-to-back PUSCH transmissions within one slot</w:t>
      </w:r>
      <w:r>
        <w:rPr>
          <w:rStyle w:val="153"/>
          <w:rFonts w:hint="eastAsia"/>
          <w:lang w:val="en-US" w:eastAsia="zh-CN"/>
        </w:rPr>
        <w:t>), the essence is whether to support joint channel estimation for PUSCH repetition type B. In our view, PUSCH repetition type B could be beneficial for coverage improvement in case of TDD operation by using the symbols in special slots. On the other hand, we need to be cautious that the support of joint channel estimation should be based on Rel-16 PUSCH repetition type B functionality, since it was concluded in SI that enhancements to PUSCH repetition type B itself is not supported. In other words, joint channel estimation for PUSCH repetition type B is supported while o</w:t>
      </w:r>
      <w:r>
        <w:rPr>
          <w:rFonts w:ascii="Times New Roman" w:hAnsi="Times New Roman" w:cs="Times New Roman"/>
          <w:color w:val="auto"/>
          <w:sz w:val="20"/>
          <w:szCs w:val="20"/>
        </w:rPr>
        <w:t>ptimization specific for </w:t>
      </w:r>
      <w:r>
        <w:rPr>
          <w:rStyle w:val="153"/>
          <w:rFonts w:hint="eastAsia"/>
          <w:lang w:val="en-US" w:eastAsia="zh-CN"/>
        </w:rPr>
        <w:t>PUSCH repetition type B</w:t>
      </w:r>
      <w:r>
        <w:rPr>
          <w:rFonts w:ascii="Times New Roman" w:hAnsi="Times New Roman" w:cs="Times New Roman"/>
          <w:color w:val="auto"/>
          <w:sz w:val="20"/>
          <w:szCs w:val="20"/>
        </w:rPr>
        <w:t xml:space="preserve"> is not considered.</w:t>
      </w:r>
      <w:r>
        <w:rPr>
          <w:rFonts w:hint="eastAsia" w:ascii="Times New Roman" w:hAnsi="Times New Roman" w:cs="Times New Roman"/>
          <w:color w:val="auto"/>
          <w:sz w:val="20"/>
          <w:szCs w:val="20"/>
          <w:lang w:val="en-US" w:eastAsia="zh-CN"/>
        </w:rPr>
        <w:t xml:space="preserve"> Thus, use case 1 can be supported for </w:t>
      </w:r>
      <w:r>
        <w:rPr>
          <w:rStyle w:val="153"/>
          <w:rFonts w:hint="eastAsia" w:eastAsia="宋体"/>
          <w:lang w:val="en-US" w:eastAsia="ko-KR"/>
        </w:rPr>
        <w:t>joint channel estimation for PUSCH</w:t>
      </w:r>
    </w:p>
    <w:p>
      <w:pPr>
        <w:pStyle w:val="97"/>
        <w:keepNext w:val="0"/>
        <w:keepLines w:val="0"/>
        <w:pageBreakBefore w:val="0"/>
        <w:widowControl/>
        <w:kinsoku/>
        <w:wordWrap/>
        <w:overflowPunct w:val="0"/>
        <w:topLinePunct w:val="0"/>
        <w:autoSpaceDE w:val="0"/>
        <w:autoSpaceDN w:val="0"/>
        <w:bidi w:val="0"/>
        <w:adjustRightInd w:val="0"/>
        <w:snapToGrid w:val="0"/>
        <w:spacing w:after="60"/>
        <w:textAlignment w:val="baseline"/>
        <w:rPr>
          <w:rStyle w:val="153"/>
          <w:rFonts w:hint="eastAsia"/>
          <w:b w:val="0"/>
          <w:bCs w:val="0"/>
          <w:i/>
          <w:iCs/>
          <w:lang w:val="en-US" w:eastAsia="zh-CN"/>
        </w:rPr>
      </w:pPr>
      <w:r>
        <w:rPr>
          <w:rStyle w:val="153"/>
          <w:rFonts w:hint="eastAsia"/>
          <w:b/>
          <w:bCs/>
          <w:i/>
          <w:iCs/>
          <w:lang w:val="en-US" w:eastAsia="zh-CN"/>
        </w:rPr>
        <w:t xml:space="preserve">Proposal 1: </w:t>
      </w:r>
      <w:r>
        <w:rPr>
          <w:rStyle w:val="153"/>
          <w:rFonts w:hint="eastAsia"/>
          <w:b w:val="0"/>
          <w:bCs w:val="0"/>
          <w:i/>
          <w:iCs/>
          <w:lang w:val="en-US" w:eastAsia="zh-CN"/>
        </w:rPr>
        <w:t xml:space="preserve">Support </w:t>
      </w:r>
      <w:r>
        <w:rPr>
          <w:rFonts w:hint="eastAsia" w:ascii="Times New Roman" w:hAnsi="Times New Roman" w:cs="Times New Roman"/>
          <w:b w:val="0"/>
          <w:bCs w:val="0"/>
          <w:i/>
          <w:iCs/>
          <w:color w:val="auto"/>
          <w:sz w:val="20"/>
          <w:szCs w:val="20"/>
          <w:lang w:val="en-US" w:eastAsia="zh-CN"/>
        </w:rPr>
        <w:t xml:space="preserve">use case 1 </w:t>
      </w:r>
      <w:r>
        <w:rPr>
          <w:rStyle w:val="153"/>
          <w:rFonts w:hint="eastAsia"/>
          <w:b w:val="0"/>
          <w:bCs w:val="0"/>
          <w:i/>
          <w:iCs/>
          <w:lang w:val="en-US" w:eastAsia="zh-CN"/>
        </w:rPr>
        <w:t>(</w:t>
      </w:r>
      <w:r>
        <w:rPr>
          <w:rStyle w:val="153"/>
          <w:rFonts w:hint="eastAsia" w:eastAsia="宋体"/>
          <w:b w:val="0"/>
          <w:bCs w:val="0"/>
          <w:i/>
          <w:iCs/>
          <w:lang w:val="en-US" w:eastAsia="ko-KR"/>
        </w:rPr>
        <w:t>back-to-back PUSCH transmissions within one slot</w:t>
      </w:r>
      <w:r>
        <w:rPr>
          <w:rStyle w:val="153"/>
          <w:rFonts w:hint="eastAsia"/>
          <w:b w:val="0"/>
          <w:bCs w:val="0"/>
          <w:i/>
          <w:iCs/>
          <w:lang w:val="en-US" w:eastAsia="zh-CN"/>
        </w:rPr>
        <w:t>)</w:t>
      </w:r>
      <w:r>
        <w:rPr>
          <w:rFonts w:hint="eastAsia" w:ascii="Times New Roman" w:hAnsi="Times New Roman" w:cs="Times New Roman"/>
          <w:b w:val="0"/>
          <w:bCs w:val="0"/>
          <w:i/>
          <w:iCs/>
          <w:color w:val="auto"/>
          <w:sz w:val="20"/>
          <w:szCs w:val="20"/>
          <w:lang w:val="en-US" w:eastAsia="zh-CN"/>
        </w:rPr>
        <w:t xml:space="preserve"> for </w:t>
      </w:r>
      <w:r>
        <w:rPr>
          <w:rStyle w:val="153"/>
          <w:rFonts w:hint="eastAsia" w:eastAsia="宋体"/>
          <w:b w:val="0"/>
          <w:bCs w:val="0"/>
          <w:i/>
          <w:iCs/>
          <w:lang w:val="en-US" w:eastAsia="ko-KR"/>
        </w:rPr>
        <w:t>joint channel estimation for PUSCH</w:t>
      </w:r>
      <w:r>
        <w:rPr>
          <w:rStyle w:val="153"/>
          <w:rFonts w:hint="eastAsia"/>
          <w:b w:val="0"/>
          <w:bCs w:val="0"/>
          <w:i/>
          <w:iCs/>
          <w:lang w:val="en-US" w:eastAsia="zh-CN"/>
        </w:rPr>
        <w:t xml:space="preserve">. </w:t>
      </w:r>
    </w:p>
    <w:p>
      <w:pPr>
        <w:pStyle w:val="97"/>
        <w:numPr>
          <w:ilvl w:val="0"/>
          <w:numId w:val="20"/>
        </w:numPr>
        <w:ind w:left="420" w:leftChars="0" w:hanging="420" w:firstLineChars="0"/>
        <w:rPr>
          <w:rFonts w:hint="eastAsia" w:ascii="Times New Roman" w:hAnsi="Times New Roman" w:cs="Times New Roman"/>
          <w:b w:val="0"/>
          <w:bCs w:val="0"/>
          <w:i/>
          <w:iCs/>
          <w:color w:val="auto"/>
          <w:sz w:val="20"/>
          <w:szCs w:val="20"/>
          <w:lang w:val="en-US" w:eastAsia="zh-CN"/>
        </w:rPr>
      </w:pPr>
      <w:r>
        <w:rPr>
          <w:rStyle w:val="153"/>
          <w:rFonts w:hint="eastAsia"/>
          <w:b w:val="0"/>
          <w:bCs w:val="0"/>
          <w:i/>
          <w:iCs/>
          <w:lang w:val="en-US" w:eastAsia="zh-CN"/>
        </w:rPr>
        <w:t>Joint channel estimation for PUSCH repetition type B is supported while o</w:t>
      </w:r>
      <w:r>
        <w:rPr>
          <w:rFonts w:ascii="Times New Roman" w:hAnsi="Times New Roman" w:cs="Times New Roman"/>
          <w:b w:val="0"/>
          <w:bCs w:val="0"/>
          <w:i/>
          <w:iCs/>
          <w:color w:val="auto"/>
          <w:sz w:val="20"/>
          <w:szCs w:val="20"/>
        </w:rPr>
        <w:t>ptimization specific for </w:t>
      </w:r>
      <w:r>
        <w:rPr>
          <w:rStyle w:val="153"/>
          <w:rFonts w:hint="eastAsia"/>
          <w:b w:val="0"/>
          <w:bCs w:val="0"/>
          <w:i/>
          <w:iCs/>
          <w:lang w:val="en-US" w:eastAsia="zh-CN"/>
        </w:rPr>
        <w:t>PUSCH repetition type B</w:t>
      </w:r>
      <w:r>
        <w:rPr>
          <w:rFonts w:ascii="Times New Roman" w:hAnsi="Times New Roman" w:cs="Times New Roman"/>
          <w:b w:val="0"/>
          <w:bCs w:val="0"/>
          <w:i/>
          <w:iCs/>
          <w:color w:val="auto"/>
          <w:sz w:val="20"/>
          <w:szCs w:val="20"/>
        </w:rPr>
        <w:t xml:space="preserve"> is not considered.</w:t>
      </w:r>
      <w:r>
        <w:rPr>
          <w:rFonts w:hint="eastAsia" w:ascii="Times New Roman" w:hAnsi="Times New Roman" w:cs="Times New Roman"/>
          <w:b w:val="0"/>
          <w:bCs w:val="0"/>
          <w:i/>
          <w:iCs/>
          <w:color w:val="auto"/>
          <w:sz w:val="20"/>
          <w:szCs w:val="20"/>
          <w:lang w:val="en-US" w:eastAsia="zh-CN"/>
        </w:rPr>
        <w:t xml:space="preserve"> </w:t>
      </w:r>
    </w:p>
    <w:p>
      <w:pPr>
        <w:pStyle w:val="97"/>
        <w:rPr>
          <w:rFonts w:hint="eastAsia" w:ascii="Times New Roman" w:hAnsi="Times New Roman" w:cs="Times New Roman"/>
          <w:i w:val="0"/>
          <w:iCs w:val="0"/>
          <w:color w:val="auto"/>
          <w:sz w:val="20"/>
          <w:szCs w:val="20"/>
          <w:lang w:val="en-US" w:eastAsia="zh-CN"/>
        </w:rPr>
      </w:pPr>
      <w:r>
        <w:rPr>
          <w:rFonts w:hint="eastAsia" w:ascii="Times New Roman" w:hAnsi="Times New Roman" w:cs="Times New Roman"/>
          <w:i w:val="0"/>
          <w:iCs w:val="0"/>
          <w:color w:val="auto"/>
          <w:sz w:val="20"/>
          <w:szCs w:val="20"/>
          <w:lang w:val="en-US" w:eastAsia="zh-CN"/>
        </w:rPr>
        <w:t xml:space="preserve">Based on RAN4 reply LS in [3], it is possible that phase continuity can be maintained in case of no more than X un-scheduled OFDM symbols in-between the PUSCH repetition or in case of other physical signals/channels in-between PUCCH or PUSCH repetitions, as shown below. From RAN1 perspective, it would extend the benefits from joint channel estimation if use case 2 and use case 4 with non-back-to-back PUSCH transmission are also supported. Thus, contingent on RAN4 further discussion, joint channel estimation for use case 2 and use case 4 should be supported.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numPr>
                <w:ilvl w:val="0"/>
                <w:numId w:val="21"/>
              </w:numPr>
              <w:adjustRightInd/>
              <w:spacing w:before="120" w:after="0" w:line="252" w:lineRule="auto"/>
              <w:ind w:left="300" w:hanging="360"/>
              <w:contextualSpacing w:val="0"/>
              <w:textAlignment w:val="auto"/>
            </w:pPr>
            <w:r>
              <w:t>For</w:t>
            </w:r>
            <w:r>
              <w:rPr>
                <w:rFonts w:hint="eastAsia"/>
                <w:lang w:eastAsia="zh-CN"/>
              </w:rPr>
              <w:t xml:space="preserve"> </w:t>
            </w:r>
            <w:r>
              <w:t xml:space="preserve">back-to-back transmissions </w:t>
            </w:r>
            <w:r>
              <w:rPr>
                <w:rFonts w:hint="eastAsia"/>
                <w:lang w:eastAsia="zh-CN"/>
              </w:rPr>
              <w:t xml:space="preserve">with </w:t>
            </w:r>
            <w:r>
              <w:rPr>
                <w:lang w:eastAsia="zh-CN"/>
              </w:rPr>
              <w:t>zero gap in-between adjacent transmissions</w:t>
            </w:r>
            <w:r>
              <w:rPr>
                <w:rFonts w:hint="eastAsia"/>
                <w:lang w:eastAsia="zh-CN"/>
              </w:rPr>
              <w:t xml:space="preserve">, the conditions under Q1 need to be met </w:t>
            </w:r>
            <w:r>
              <w:t xml:space="preserve">to maintain phase continuity. </w:t>
            </w:r>
          </w:p>
          <w:p>
            <w:pPr>
              <w:pStyle w:val="114"/>
              <w:numPr>
                <w:ilvl w:val="0"/>
                <w:numId w:val="21"/>
              </w:numPr>
              <w:adjustRightInd/>
              <w:spacing w:before="120" w:after="0" w:line="252" w:lineRule="auto"/>
              <w:ind w:left="300" w:hanging="360"/>
              <w:contextualSpacing w:val="0"/>
              <w:textAlignment w:val="auto"/>
            </w:pPr>
            <w:r>
              <w:t xml:space="preserve">For </w:t>
            </w:r>
            <w:r>
              <w:rPr>
                <w:lang w:val="en-US"/>
              </w:rPr>
              <w:t>non-</w:t>
            </w:r>
            <w:r>
              <w:rPr>
                <w:lang w:eastAsia="zh-CN"/>
              </w:rPr>
              <w:t>back-to-back transmission</w:t>
            </w:r>
            <w:r>
              <w:rPr>
                <w:rFonts w:hint="eastAsia"/>
                <w:lang w:eastAsia="zh-CN"/>
              </w:rPr>
              <w:t xml:space="preserve"> with non-</w:t>
            </w:r>
            <w:r>
              <w:rPr>
                <w:lang w:eastAsia="zh-CN"/>
              </w:rPr>
              <w:t>zero gap in-between adjacent transmissions</w:t>
            </w:r>
            <w:r>
              <w:rPr>
                <w:rFonts w:hint="eastAsia"/>
                <w:lang w:eastAsia="zh-CN"/>
              </w:rPr>
              <w:t>,</w:t>
            </w:r>
            <w:r>
              <w:rPr>
                <w:lang w:val="en-US"/>
              </w:rPr>
              <w:t xml:space="preserve"> </w:t>
            </w:r>
            <w:r>
              <w:t>RAN4 concluded that at</w:t>
            </w:r>
            <w:r>
              <w:rPr>
                <w:rFonts w:hint="eastAsia"/>
                <w:lang w:eastAsia="zh-CN"/>
              </w:rPr>
              <w:t xml:space="preserve"> </w:t>
            </w:r>
            <w:r>
              <w:t xml:space="preserve">least following additional condition also need to be met in addition to the conditions under Q1: </w:t>
            </w:r>
          </w:p>
          <w:p>
            <w:pPr>
              <w:pStyle w:val="114"/>
              <w:numPr>
                <w:ilvl w:val="1"/>
                <w:numId w:val="21"/>
              </w:numPr>
              <w:adjustRightInd/>
              <w:spacing w:before="120" w:after="0" w:line="252" w:lineRule="auto"/>
              <w:ind w:left="1020" w:leftChars="0" w:hanging="360" w:firstLineChars="0"/>
              <w:contextualSpacing w:val="0"/>
              <w:textAlignment w:val="auto"/>
            </w:pPr>
            <w:r>
              <w:rPr>
                <w:lang w:val="en-US"/>
              </w:rPr>
              <w:t xml:space="preserve">No downlink </w:t>
            </w:r>
            <w:r>
              <w:rPr>
                <w:lang w:val="en-US" w:eastAsia="zh-CN"/>
              </w:rPr>
              <w:t>re</w:t>
            </w:r>
            <w:r>
              <w:rPr>
                <w:lang w:val="en-US"/>
              </w:rPr>
              <w:t>ception in-between the PUSCH or PUCCH repetition in the same band for TDD case</w:t>
            </w:r>
          </w:p>
          <w:p>
            <w:pPr>
              <w:pStyle w:val="114"/>
              <w:numPr>
                <w:ilvl w:val="0"/>
                <w:numId w:val="21"/>
              </w:numPr>
              <w:adjustRightInd/>
              <w:spacing w:before="120" w:after="0" w:line="252" w:lineRule="auto"/>
              <w:ind w:left="300" w:hanging="360"/>
              <w:textAlignment w:val="auto"/>
              <w:rPr>
                <w:rStyle w:val="153"/>
                <w:rFonts w:hint="default" w:eastAsia="宋体"/>
                <w:vertAlign w:val="baseline"/>
                <w:lang w:val="en-US" w:eastAsia="zh-CN"/>
              </w:rPr>
            </w:pPr>
            <w:r>
              <w:t>I</w:t>
            </w:r>
            <w:r>
              <w:rPr>
                <w:lang w:val="en-US"/>
              </w:rPr>
              <w:t xml:space="preserve">n scenario of no more than </w:t>
            </w:r>
            <w:r>
              <w:rPr>
                <w:i/>
                <w:lang w:val="en-US"/>
              </w:rPr>
              <w:t>X</w:t>
            </w:r>
            <w:r>
              <w:rPr>
                <w:lang w:val="en-US"/>
              </w:rPr>
              <w:t xml:space="preserve"> un-scheduled OFDM symbols </w:t>
            </w:r>
            <w:r>
              <w:t xml:space="preserve">in-between the PUSCH or PUCCH </w:t>
            </w:r>
            <w:r>
              <w:rPr>
                <w:lang w:val="en-US"/>
              </w:rPr>
              <w:t xml:space="preserve">repetition (e.g., </w:t>
            </w:r>
            <w:r>
              <w:rPr>
                <w:i/>
                <w:lang w:val="en-US"/>
              </w:rPr>
              <w:t>X</w:t>
            </w:r>
            <w:r>
              <w:rPr>
                <w:lang w:val="en-US"/>
              </w:rPr>
              <w:t xml:space="preserve"> = 0, 1, 2, …, 14), and scenario of other physical signals/channels in-between PUCCH or PUSCH repetitions from the UE perspective, e.g., SRS or PUCCH transmission in-between the PUSCH repetition for the UE, RAN4 is still discussing if X can be non-zero value and UE can maintain phase continuity  </w:t>
            </w:r>
          </w:p>
        </w:tc>
      </w:tr>
    </w:tbl>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eastAsia"/>
          <w:i/>
          <w:iCs/>
          <w:lang w:val="en-US" w:eastAsia="zh-CN"/>
        </w:rPr>
      </w:pPr>
      <w:r>
        <w:rPr>
          <w:rFonts w:hint="eastAsia"/>
          <w:b/>
          <w:bCs/>
          <w:i/>
          <w:iCs/>
          <w:lang w:val="en-US" w:eastAsia="zh-CN"/>
        </w:rPr>
        <w:t xml:space="preserve">Proposal 2: </w:t>
      </w:r>
      <w:r>
        <w:rPr>
          <w:rFonts w:hint="eastAsia"/>
          <w:i/>
          <w:iCs/>
          <w:lang w:val="en-US" w:eastAsia="zh-CN"/>
        </w:rPr>
        <w:t>As long as the condition of power consistency and phase continuity defined by RAN4 can be met, support use case 2 (</w:t>
      </w:r>
      <w:r>
        <w:rPr>
          <w:rFonts w:hint="eastAsia"/>
          <w:i/>
          <w:iCs/>
          <w:lang w:val="en-US" w:eastAsia="ko-KR"/>
        </w:rPr>
        <w:t>non-back-to-back PUSCH transmissions within one slot</w:t>
      </w:r>
      <w:r>
        <w:rPr>
          <w:rFonts w:hint="eastAsia"/>
          <w:i/>
          <w:iCs/>
          <w:lang w:val="en-US" w:eastAsia="zh-CN"/>
        </w:rPr>
        <w:t>) and use case 4 (</w:t>
      </w:r>
      <w:r>
        <w:rPr>
          <w:rFonts w:hint="eastAsia"/>
          <w:i/>
          <w:iCs/>
          <w:lang w:val="en-US" w:eastAsia="ko-KR"/>
        </w:rPr>
        <w:t>non-back-to-back PUSCH transmissions across consecutive slots</w:t>
      </w:r>
      <w:r>
        <w:rPr>
          <w:rFonts w:hint="eastAsia"/>
          <w:i/>
          <w:iCs/>
          <w:lang w:val="en-US" w:eastAsia="zh-CN"/>
        </w:rPr>
        <w:t xml:space="preserve">) for </w:t>
      </w:r>
      <w:r>
        <w:rPr>
          <w:rFonts w:hint="eastAsia"/>
          <w:i/>
          <w:iCs/>
          <w:lang w:val="en-US" w:eastAsia="ko-KR"/>
        </w:rPr>
        <w:t>joint channel estimation for PUSCH</w:t>
      </w:r>
      <w:r>
        <w:rPr>
          <w:rFonts w:hint="eastAsia"/>
          <w:i/>
          <w:iCs/>
          <w:lang w:val="en-US" w:eastAsia="zh-CN"/>
        </w:rPr>
        <w:t xml:space="preserve">. </w:t>
      </w:r>
    </w:p>
    <w:p>
      <w:pPr>
        <w:bidi w:val="0"/>
        <w:rPr>
          <w:rFonts w:hint="default"/>
          <w:lang w:val="en-US" w:eastAsia="zh-CN"/>
        </w:rPr>
      </w:pPr>
      <w:r>
        <w:rPr>
          <w:rFonts w:hint="eastAsia"/>
          <w:lang w:val="en-US" w:eastAsia="zh-CN"/>
        </w:rPr>
        <w:t>As for use case 5 (</w:t>
      </w:r>
      <w:r>
        <w:rPr>
          <w:rFonts w:hint="default"/>
          <w:lang w:eastAsia="ko-KR"/>
        </w:rPr>
        <w:t>PUSCH transmissions across non-consecutive slots</w:t>
      </w:r>
      <w:r>
        <w:rPr>
          <w:rFonts w:hint="eastAsia"/>
          <w:lang w:val="en-US" w:eastAsia="zh-CN"/>
        </w:rPr>
        <w:t xml:space="preserve">), it expected to be very difficult to maintain phase continuity for UE according to RAN4 discussion. Thus, use case 5 could be deprioritized. </w:t>
      </w:r>
    </w:p>
    <w:p>
      <w:pPr>
        <w:rPr>
          <w:rFonts w:hint="eastAsia"/>
          <w:lang w:val="en-US" w:eastAsia="zh-CN"/>
        </w:rPr>
      </w:pPr>
      <w:r>
        <w:rPr>
          <w:rFonts w:hint="eastAsia"/>
          <w:b/>
          <w:bCs/>
          <w:i/>
          <w:iCs/>
          <w:lang w:val="en-US" w:eastAsia="zh-CN"/>
        </w:rPr>
        <w:t xml:space="preserve">Proposal 3: </w:t>
      </w:r>
      <w:r>
        <w:rPr>
          <w:rFonts w:hint="eastAsia"/>
          <w:b w:val="0"/>
          <w:bCs w:val="0"/>
          <w:i/>
          <w:iCs/>
          <w:lang w:val="en-US" w:eastAsia="zh-CN"/>
        </w:rPr>
        <w:t xml:space="preserve">De-prioritize use case 5 for </w:t>
      </w:r>
      <w:r>
        <w:rPr>
          <w:rFonts w:hint="eastAsia"/>
          <w:b w:val="0"/>
          <w:bCs w:val="0"/>
          <w:i/>
          <w:iCs/>
          <w:lang w:val="en-US" w:eastAsia="ko-KR"/>
        </w:rPr>
        <w:t>joint channel estimation for PUSCH</w:t>
      </w:r>
      <w:r>
        <w:rPr>
          <w:rFonts w:hint="eastAsia"/>
          <w:b w:val="0"/>
          <w:bCs w:val="0"/>
          <w:i/>
          <w:iCs/>
          <w:lang w:val="en-US" w:eastAsia="zh-CN"/>
        </w:rPr>
        <w:t xml:space="preserve">. </w:t>
      </w:r>
    </w:p>
    <w:p>
      <w:pPr>
        <w:pStyle w:val="3"/>
        <w:bidi w:val="0"/>
        <w:rPr>
          <w:rFonts w:hint="eastAsia"/>
          <w:lang w:val="en-US" w:eastAsia="zh-CN"/>
        </w:rPr>
      </w:pPr>
      <w:r>
        <w:rPr>
          <w:rFonts w:hint="eastAsia"/>
          <w:lang w:val="en-US" w:eastAsia="zh-CN"/>
        </w:rPr>
        <w:t>Inter-slot FH bundling for cross-slot channel estimation</w:t>
      </w:r>
    </w:p>
    <w:p>
      <w:pPr>
        <w:numPr>
          <w:ilvl w:val="255"/>
          <w:numId w:val="0"/>
        </w:numPr>
        <w:rPr>
          <w:rFonts w:hint="eastAsia"/>
          <w:lang w:val="en-US" w:eastAsia="zh-CN"/>
        </w:rPr>
      </w:pPr>
      <w:r>
        <w:rPr>
          <w:rFonts w:hint="eastAsia"/>
          <w:lang w:val="en-US" w:eastAsia="zh-CN"/>
        </w:rPr>
        <w:t>During SI phase, cross-slot channel estimation has been proved beneficial for coverage enhancement due to improved channel estimation accuracy. On top of it, inter-slot FH with inter-slot bundling may provide additional performance gain. Basically, a</w:t>
      </w:r>
      <w:r>
        <w:rPr>
          <w:rFonts w:hint="eastAsia"/>
          <w:highlight w:val="none"/>
          <w:lang w:val="en-US" w:eastAsia="zh-CN"/>
        </w:rPr>
        <w:t xml:space="preserve"> smaller bundle size could achieve higher diversity gain while a lower joint channel estimation gain and vice versa. T</w:t>
      </w:r>
      <w:r>
        <w:rPr>
          <w:rFonts w:hint="eastAsia"/>
          <w:lang w:val="en-US" w:eastAsia="zh-CN"/>
        </w:rPr>
        <w:t xml:space="preserve">o achieve a good balance between FH diversity gain and joint channel estimation gain, the inter-slot FH pattern in the time domain should be studied. </w:t>
      </w:r>
    </w:p>
    <w:p>
      <w:pPr>
        <w:numPr>
          <w:ilvl w:val="255"/>
          <w:numId w:val="0"/>
        </w:numPr>
        <w:rPr>
          <w:rFonts w:hint="default"/>
          <w:lang w:val="en-US" w:eastAsia="zh-CN"/>
        </w:rPr>
      </w:pPr>
      <w:r>
        <w:rPr>
          <w:rFonts w:hint="eastAsia"/>
          <w:lang w:val="en-US" w:eastAsia="zh-CN"/>
        </w:rPr>
        <w:t xml:space="preserve">In Figure 1, different inter-slot FH patterns in the time domain for PUSCH with 8 repetitions are provided. In the example, FDD operation is assumed and the bundling size is one of the divisors of the maximum number of repetitions. </w:t>
      </w:r>
    </w:p>
    <w:p>
      <w:pPr>
        <w:numPr>
          <w:ilvl w:val="255"/>
          <w:numId w:val="0"/>
        </w:numPr>
        <w:jc w:val="center"/>
      </w:pPr>
      <w:r>
        <w:drawing>
          <wp:inline distT="0" distB="0" distL="114300" distR="114300">
            <wp:extent cx="4441825" cy="227584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4441825" cy="2275840"/>
                    </a:xfrm>
                    <a:prstGeom prst="rect">
                      <a:avLst/>
                    </a:prstGeom>
                    <a:noFill/>
                    <a:ln>
                      <a:noFill/>
                    </a:ln>
                  </pic:spPr>
                </pic:pic>
              </a:graphicData>
            </a:graphic>
          </wp:inline>
        </w:drawing>
      </w:r>
    </w:p>
    <w:p>
      <w:pPr>
        <w:numPr>
          <w:ilvl w:val="255"/>
          <w:numId w:val="0"/>
        </w:numPr>
        <w:jc w:val="center"/>
        <w:rPr>
          <w:rFonts w:hint="default"/>
          <w:highlight w:val="none"/>
          <w:lang w:val="en-US" w:eastAsia="zh-CN"/>
        </w:rPr>
      </w:pPr>
      <w:r>
        <w:rPr>
          <w:rFonts w:hint="eastAsia"/>
          <w:highlight w:val="none"/>
          <w:lang w:val="en-US" w:eastAsia="zh-CN"/>
        </w:rPr>
        <w:t>Figure 1 Different inter-slot FH patterns in the time domain for PUSCH with 8 repetitions in FDD</w:t>
      </w:r>
    </w:p>
    <w:p>
      <w:pPr>
        <w:numPr>
          <w:ilvl w:val="255"/>
          <w:numId w:val="0"/>
        </w:numPr>
        <w:jc w:val="both"/>
        <w:rPr>
          <w:rFonts w:hint="eastAsia"/>
          <w:highlight w:val="none"/>
          <w:lang w:val="en-US" w:eastAsia="zh-CN"/>
        </w:rPr>
      </w:pPr>
      <w:r>
        <w:rPr>
          <w:rFonts w:hint="eastAsia"/>
          <w:highlight w:val="none"/>
          <w:lang w:val="en-US" w:eastAsia="zh-CN"/>
        </w:rPr>
        <w:t xml:space="preserve">In Figure 2, the performance of different inter-slot FH patterns in the time domain for PUSCH with 8 repetitions is provided. </w:t>
      </w:r>
    </w:p>
    <w:p>
      <w:pPr>
        <w:numPr>
          <w:ilvl w:val="255"/>
          <w:numId w:val="0"/>
        </w:numPr>
        <w:jc w:val="center"/>
        <w:rPr>
          <w:rFonts w:hint="default"/>
          <w:highlight w:val="yellow"/>
          <w:lang w:val="en-US" w:eastAsia="zh-CN"/>
        </w:rPr>
      </w:pPr>
      <w:r>
        <w:drawing>
          <wp:inline distT="0" distB="0" distL="114300" distR="114300">
            <wp:extent cx="5335905" cy="3788410"/>
            <wp:effectExtent l="4445" t="4445" r="6350" b="17145"/>
            <wp:docPr id="25"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jc w:val="center"/>
        <w:rPr>
          <w:rFonts w:hint="default"/>
          <w:highlight w:val="none"/>
          <w:lang w:val="en-US" w:eastAsia="zh-CN"/>
        </w:rPr>
      </w:pPr>
      <w:r>
        <w:rPr>
          <w:rFonts w:hint="eastAsia"/>
          <w:highlight w:val="none"/>
          <w:lang w:eastAsia="zh-CN"/>
        </w:rPr>
        <w:t xml:space="preserve">Figure </w:t>
      </w:r>
      <w:r>
        <w:rPr>
          <w:rFonts w:hint="eastAsia"/>
          <w:highlight w:val="none"/>
          <w:lang w:val="en-US" w:eastAsia="zh-CN"/>
        </w:rPr>
        <w:t>2</w:t>
      </w:r>
      <w:r>
        <w:rPr>
          <w:rFonts w:hint="eastAsia"/>
          <w:highlight w:val="none"/>
          <w:lang w:eastAsia="zh-CN"/>
        </w:rPr>
        <w:t>. Performance of</w:t>
      </w:r>
      <w:r>
        <w:rPr>
          <w:rFonts w:hint="eastAsia"/>
          <w:highlight w:val="none"/>
          <w:lang w:val="en-US" w:eastAsia="zh-CN"/>
        </w:rPr>
        <w:t xml:space="preserve"> different inter-slot FH patterns in the time domain for PUSCH with 8 repetitions</w:t>
      </w:r>
    </w:p>
    <w:p>
      <w:pPr>
        <w:numPr>
          <w:ilvl w:val="255"/>
          <w:numId w:val="0"/>
        </w:numPr>
        <w:rPr>
          <w:rFonts w:hint="eastAsia"/>
          <w:highlight w:val="none"/>
          <w:lang w:eastAsia="zh-CN"/>
        </w:rPr>
      </w:pPr>
      <w:r>
        <w:rPr>
          <w:rFonts w:hint="eastAsia"/>
          <w:highlight w:val="none"/>
          <w:lang w:val="en-US" w:eastAsia="zh-CN"/>
        </w:rPr>
        <w:t>As can be observed in</w:t>
      </w:r>
      <w:r>
        <w:rPr>
          <w:rFonts w:hint="eastAsia"/>
          <w:highlight w:val="none"/>
          <w:lang w:eastAsia="zh-CN"/>
        </w:rPr>
        <w:t xml:space="preserve"> </w:t>
      </w:r>
      <w:r>
        <w:rPr>
          <w:rFonts w:hint="eastAsia"/>
          <w:highlight w:val="none"/>
          <w:lang w:val="en-US" w:eastAsia="zh-CN"/>
        </w:rPr>
        <w:t>Figure 2</w:t>
      </w:r>
      <w:r>
        <w:rPr>
          <w:rFonts w:hint="eastAsia"/>
          <w:highlight w:val="none"/>
          <w:lang w:eastAsia="zh-CN"/>
        </w:rPr>
        <w:t xml:space="preserve">, </w:t>
      </w:r>
      <w:r>
        <w:rPr>
          <w:rFonts w:hint="eastAsia"/>
          <w:highlight w:val="none"/>
          <w:lang w:val="en-US" w:eastAsia="zh-CN"/>
        </w:rPr>
        <w:t>the case with i</w:t>
      </w:r>
      <w:r>
        <w:t xml:space="preserve">nter-slot </w:t>
      </w:r>
      <w:r>
        <w:rPr>
          <w:rFonts w:hint="eastAsia"/>
          <w:lang w:val="en-US" w:eastAsia="zh-CN"/>
        </w:rPr>
        <w:t>FH</w:t>
      </w:r>
      <w:r>
        <w:t xml:space="preserve"> with inter-slot bundling</w:t>
      </w:r>
      <w:r>
        <w:rPr>
          <w:rFonts w:hint="eastAsia"/>
          <w:highlight w:val="none"/>
          <w:lang w:val="en-US" w:eastAsia="zh-CN"/>
        </w:rPr>
        <w:t xml:space="preserve"> of size 4 can provide additional 2.66 dB, 1.38dB, 0.88dB and 0.78 dB gain over the case with baseline performance, legacy inter-slot FH, joint channel estimation while no inter-slot FH and i</w:t>
      </w:r>
      <w:r>
        <w:t xml:space="preserve">nter-slot </w:t>
      </w:r>
      <w:r>
        <w:rPr>
          <w:rFonts w:hint="eastAsia"/>
          <w:lang w:val="en-US" w:eastAsia="zh-CN"/>
        </w:rPr>
        <w:t>FH</w:t>
      </w:r>
      <w:r>
        <w:t xml:space="preserve"> with inter-slot bundling</w:t>
      </w:r>
      <w:r>
        <w:rPr>
          <w:rFonts w:hint="eastAsia"/>
          <w:highlight w:val="none"/>
          <w:lang w:val="en-US" w:eastAsia="zh-CN"/>
        </w:rPr>
        <w:t xml:space="preserve"> of size 2 respectively in 700MHz rural scenario</w:t>
      </w:r>
      <w:r>
        <w:rPr>
          <w:rFonts w:hint="eastAsia"/>
          <w:highlight w:val="none"/>
          <w:lang w:eastAsia="zh-CN"/>
        </w:rPr>
        <w:t>.</w:t>
      </w:r>
    </w:p>
    <w:p>
      <w:pPr>
        <w:numPr>
          <w:ilvl w:val="255"/>
          <w:numId w:val="0"/>
        </w:numPr>
        <w:rPr>
          <w:rFonts w:hint="default"/>
          <w:i/>
          <w:iCs/>
          <w:lang w:val="en-US" w:eastAsia="zh-CN"/>
        </w:rPr>
      </w:pPr>
      <w:r>
        <w:rPr>
          <w:rFonts w:hint="eastAsia"/>
          <w:b/>
          <w:bCs/>
          <w:i/>
          <w:iCs/>
          <w:highlight w:val="none"/>
          <w:lang w:val="en-US" w:eastAsia="zh-CN"/>
        </w:rPr>
        <w:t xml:space="preserve">Observation 1: </w:t>
      </w:r>
      <w:r>
        <w:rPr>
          <w:rFonts w:hint="eastAsia"/>
          <w:i/>
          <w:iCs/>
          <w:highlight w:val="none"/>
          <w:lang w:val="en-US" w:eastAsia="zh-CN"/>
        </w:rPr>
        <w:t>I</w:t>
      </w:r>
      <w:r>
        <w:rPr>
          <w:i/>
          <w:iCs/>
        </w:rPr>
        <w:t xml:space="preserve">nter-slot </w:t>
      </w:r>
      <w:r>
        <w:rPr>
          <w:rFonts w:hint="eastAsia"/>
          <w:i/>
          <w:iCs/>
          <w:lang w:val="en-US" w:eastAsia="zh-CN"/>
        </w:rPr>
        <w:t>FH</w:t>
      </w:r>
      <w:r>
        <w:rPr>
          <w:i/>
          <w:iCs/>
        </w:rPr>
        <w:t xml:space="preserve"> with inter-slot bundling</w:t>
      </w:r>
      <w:r>
        <w:rPr>
          <w:rFonts w:hint="eastAsia"/>
          <w:i/>
          <w:iCs/>
          <w:lang w:val="en-US" w:eastAsia="zh-CN"/>
        </w:rPr>
        <w:t xml:space="preserve"> to enable joint channel estimation can provide up to 2.66 dB gain for PUSCH with 8 repetitions in </w:t>
      </w:r>
      <w:r>
        <w:rPr>
          <w:rFonts w:hint="eastAsia"/>
          <w:i/>
          <w:iCs/>
          <w:highlight w:val="none"/>
          <w:lang w:val="en-US" w:eastAsia="zh-CN"/>
        </w:rPr>
        <w:t>700MHz rural scenario</w:t>
      </w:r>
      <w:r>
        <w:rPr>
          <w:rFonts w:hint="eastAsia"/>
          <w:i/>
          <w:iCs/>
          <w:lang w:val="en-US" w:eastAsia="zh-CN"/>
        </w:rPr>
        <w:t xml:space="preserve">. </w:t>
      </w:r>
    </w:p>
    <w:p>
      <w:pPr>
        <w:numPr>
          <w:ilvl w:val="255"/>
          <w:numId w:val="0"/>
        </w:numPr>
        <w:rPr>
          <w:rFonts w:hint="eastAsia"/>
          <w:b/>
          <w:bCs/>
          <w:i/>
          <w:iCs/>
          <w:highlight w:val="none"/>
          <w:lang w:eastAsia="zh-CN"/>
        </w:rPr>
      </w:pPr>
      <w:r>
        <w:rPr>
          <w:rFonts w:hint="eastAsia"/>
          <w:highlight w:val="none"/>
          <w:lang w:val="en-US" w:eastAsia="zh-CN"/>
        </w:rPr>
        <w:t xml:space="preserve">According to Figure 2, the case with FH for only one time, i.e., bundling size 4, provides the best performance. Thus, the bundling size can be implicitly determined by the number of repetitions </w:t>
      </w:r>
      <w:r>
        <w:rPr>
          <w:rFonts w:hint="eastAsia"/>
          <w:i/>
          <w:iCs/>
          <w:highlight w:val="none"/>
          <w:lang w:val="en-US" w:eastAsia="zh-CN"/>
        </w:rPr>
        <w:t>K</w:t>
      </w:r>
      <w:r>
        <w:rPr>
          <w:rFonts w:hint="eastAsia"/>
          <w:highlight w:val="none"/>
          <w:lang w:val="en-US" w:eastAsia="zh-CN"/>
        </w:rPr>
        <w:t xml:space="preserve">, e.g., </w:t>
      </w:r>
      <w:r>
        <w:rPr>
          <w:rFonts w:hint="eastAsia"/>
          <w:i/>
          <w:iCs/>
          <w:highlight w:val="none"/>
          <w:lang w:val="en-US" w:eastAsia="zh-CN"/>
        </w:rPr>
        <w:t>floor (K/2)</w:t>
      </w:r>
      <w:r>
        <w:rPr>
          <w:rFonts w:hint="eastAsia"/>
          <w:highlight w:val="none"/>
          <w:lang w:val="en-US" w:eastAsia="zh-CN"/>
        </w:rPr>
        <w:t xml:space="preserve"> or </w:t>
      </w:r>
      <w:r>
        <w:rPr>
          <w:rFonts w:hint="eastAsia"/>
          <w:i/>
          <w:iCs/>
          <w:highlight w:val="none"/>
          <w:lang w:val="en-US" w:eastAsia="zh-CN"/>
        </w:rPr>
        <w:t>cell(K/2).</w:t>
      </w:r>
      <w:r>
        <w:rPr>
          <w:rFonts w:hint="eastAsia"/>
          <w:highlight w:val="none"/>
          <w:lang w:val="en-US" w:eastAsia="zh-CN"/>
        </w:rPr>
        <w:t xml:space="preserve"> However, under different scenarios, e.g., different UE speed or different number of receiving antennas, it may need to use different bundling sizes for better performance. Thus, it may also desirable to make the bundling size configurable by RRC or even dynamically indicated by DCI. </w:t>
      </w:r>
    </w:p>
    <w:p>
      <w:pPr>
        <w:numPr>
          <w:ilvl w:val="255"/>
          <w:numId w:val="0"/>
        </w:numPr>
        <w:rPr>
          <w:rFonts w:hint="eastAsia"/>
          <w:b w:val="0"/>
          <w:bCs w:val="0"/>
          <w:i/>
          <w:iCs/>
          <w:highlight w:val="none"/>
          <w:lang w:val="en-US" w:eastAsia="zh-CN"/>
        </w:rPr>
      </w:pPr>
      <w:r>
        <w:rPr>
          <w:rFonts w:hint="eastAsia"/>
          <w:b/>
          <w:bCs/>
          <w:i/>
          <w:iCs/>
          <w:highlight w:val="none"/>
          <w:lang w:eastAsia="zh-CN"/>
        </w:rPr>
        <w:t xml:space="preserve">Proposal </w:t>
      </w:r>
      <w:r>
        <w:rPr>
          <w:rFonts w:hint="eastAsia"/>
          <w:b/>
          <w:bCs/>
          <w:i/>
          <w:iCs/>
          <w:highlight w:val="none"/>
          <w:lang w:val="en-US" w:eastAsia="zh-CN"/>
        </w:rPr>
        <w:t>4</w:t>
      </w:r>
      <w:r>
        <w:rPr>
          <w:rFonts w:hint="eastAsia"/>
          <w:b/>
          <w:bCs/>
          <w:i/>
          <w:iCs/>
          <w:highlight w:val="none"/>
          <w:lang w:eastAsia="zh-CN"/>
        </w:rPr>
        <w:t xml:space="preserve">: </w:t>
      </w:r>
      <w:r>
        <w:rPr>
          <w:rFonts w:hint="eastAsia"/>
          <w:b w:val="0"/>
          <w:bCs w:val="0"/>
          <w:i/>
          <w:iCs/>
          <w:highlight w:val="none"/>
          <w:lang w:val="en-US" w:eastAsia="zh-CN"/>
        </w:rPr>
        <w:t xml:space="preserve">For the determination of inter-slot bundling size for inter-slot FH, RAN1 down-selects from the two options below. </w:t>
      </w:r>
    </w:p>
    <w:p>
      <w:pPr>
        <w:numPr>
          <w:ilvl w:val="0"/>
          <w:numId w:val="22"/>
        </w:numPr>
        <w:ind w:left="840" w:leftChars="0" w:hanging="420" w:firstLineChars="0"/>
        <w:rPr>
          <w:rFonts w:hint="eastAsia"/>
          <w:highlight w:val="none"/>
          <w:lang w:val="en-US" w:eastAsia="zh-CN"/>
        </w:rPr>
      </w:pPr>
      <w:r>
        <w:rPr>
          <w:rFonts w:hint="eastAsia"/>
          <w:b w:val="0"/>
          <w:bCs w:val="0"/>
          <w:i/>
          <w:iCs/>
          <w:highlight w:val="none"/>
          <w:lang w:val="en-US" w:eastAsia="zh-CN"/>
        </w:rPr>
        <w:t xml:space="preserve">Option 1: Inter-slot bundling size is </w:t>
      </w:r>
      <w:r>
        <w:rPr>
          <w:rFonts w:hint="eastAsia"/>
          <w:i/>
          <w:iCs/>
          <w:highlight w:val="none"/>
          <w:lang w:val="en-US" w:eastAsia="zh-CN"/>
        </w:rPr>
        <w:t xml:space="preserve">implicitly determined by the number of repetitions K, e.g., floor (K/2) or cell(K/2). </w:t>
      </w:r>
    </w:p>
    <w:p>
      <w:pPr>
        <w:numPr>
          <w:ilvl w:val="0"/>
          <w:numId w:val="22"/>
        </w:numPr>
        <w:ind w:left="840" w:leftChars="0" w:hanging="420" w:firstLineChars="0"/>
        <w:rPr>
          <w:rFonts w:hint="eastAsia"/>
          <w:highlight w:val="none"/>
          <w:lang w:val="en-US" w:eastAsia="zh-CN"/>
        </w:rPr>
      </w:pPr>
      <w:r>
        <w:rPr>
          <w:rFonts w:hint="eastAsia"/>
          <w:i/>
          <w:iCs/>
          <w:highlight w:val="none"/>
          <w:lang w:val="en-US" w:eastAsia="zh-CN"/>
        </w:rPr>
        <w:t xml:space="preserve">Option 2: </w:t>
      </w:r>
      <w:r>
        <w:rPr>
          <w:rFonts w:hint="eastAsia"/>
          <w:b w:val="0"/>
          <w:bCs w:val="0"/>
          <w:i/>
          <w:iCs/>
          <w:highlight w:val="none"/>
          <w:lang w:val="en-US" w:eastAsia="zh-CN"/>
        </w:rPr>
        <w:t xml:space="preserve">Inter-slot bundling size is </w:t>
      </w:r>
      <w:r>
        <w:rPr>
          <w:rFonts w:hint="eastAsia"/>
          <w:i/>
          <w:iCs/>
          <w:highlight w:val="none"/>
          <w:lang w:val="en-US" w:eastAsia="zh-CN"/>
        </w:rPr>
        <w:t xml:space="preserve">RRC </w:t>
      </w:r>
      <w:r>
        <w:rPr>
          <w:rFonts w:hint="eastAsia"/>
          <w:b w:val="0"/>
          <w:bCs w:val="0"/>
          <w:i/>
          <w:iCs/>
          <w:highlight w:val="none"/>
          <w:lang w:val="en-US" w:eastAsia="zh-CN"/>
        </w:rPr>
        <w:t xml:space="preserve">configured or dynamically indicated to a UE. </w:t>
      </w:r>
    </w:p>
    <w:p>
      <w:pPr>
        <w:numPr>
          <w:ilvl w:val="255"/>
          <w:numId w:val="0"/>
        </w:numPr>
        <w:rPr>
          <w:rFonts w:hint="eastAsia"/>
          <w:highlight w:val="none"/>
          <w:lang w:val="en-US" w:eastAsia="zh-CN"/>
        </w:rPr>
      </w:pPr>
      <w:r>
        <w:rPr>
          <w:rFonts w:hint="eastAsia"/>
          <w:highlight w:val="none"/>
          <w:lang w:val="en-US" w:eastAsia="zh-CN"/>
        </w:rPr>
        <w:t xml:space="preserve">For TDD operation, joint channel estimation may be only performed among PUSCH transmissions in consecutive UL slots. Depending on TDD configuration and definition of one FH bundle, the inter-slot FH pattern could be different. Take Figure 3 for instance, two inter-slot FH patterns are given based on bundling size of 2, and </w:t>
      </w:r>
      <w:r>
        <w:rPr>
          <w:rFonts w:hint="eastAsia"/>
          <w:b w:val="0"/>
          <w:bCs w:val="0"/>
          <w:highlight w:val="none"/>
          <w:lang w:val="en-US" w:eastAsia="zh-CN"/>
        </w:rPr>
        <w:t>FH happens between each FH bundle.</w:t>
      </w:r>
    </w:p>
    <w:p>
      <w:pPr>
        <w:numPr>
          <w:ilvl w:val="255"/>
          <w:numId w:val="0"/>
        </w:numPr>
        <w:jc w:val="center"/>
      </w:pPr>
      <w:r>
        <w:drawing>
          <wp:inline distT="0" distB="0" distL="114300" distR="114300">
            <wp:extent cx="5781675" cy="18726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781675" cy="1872615"/>
                    </a:xfrm>
                    <a:prstGeom prst="rect">
                      <a:avLst/>
                    </a:prstGeom>
                    <a:noFill/>
                    <a:ln>
                      <a:noFill/>
                    </a:ln>
                  </pic:spPr>
                </pic:pic>
              </a:graphicData>
            </a:graphic>
          </wp:inline>
        </w:drawing>
      </w:r>
    </w:p>
    <w:p>
      <w:pPr>
        <w:numPr>
          <w:ilvl w:val="255"/>
          <w:numId w:val="0"/>
        </w:numPr>
        <w:jc w:val="center"/>
        <w:rPr>
          <w:rFonts w:hint="default"/>
          <w:highlight w:val="none"/>
          <w:lang w:val="en-US" w:eastAsia="zh-CN"/>
        </w:rPr>
      </w:pPr>
      <w:r>
        <w:rPr>
          <w:rFonts w:hint="eastAsia"/>
          <w:highlight w:val="none"/>
          <w:lang w:val="en-US" w:eastAsia="zh-CN"/>
        </w:rPr>
        <w:t xml:space="preserve">Figure 3 Different inter-slot FH patterns in the time domain for PUSCH with 8 repetitions in TDD, and inter-slot FH bundling size is 2.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240" w:beforeLines="100"/>
        <w:ind w:leftChars="0"/>
        <w:textAlignment w:val="baseline"/>
        <w:rPr>
          <w:rFonts w:hint="default"/>
          <w:b w:val="0"/>
          <w:bCs w:val="0"/>
          <w:lang w:val="en-US" w:eastAsia="zh-CN"/>
        </w:rPr>
      </w:pPr>
      <w:r>
        <w:rPr>
          <w:rFonts w:hint="eastAsia"/>
          <w:b w:val="0"/>
          <w:bCs w:val="0"/>
          <w:lang w:val="en-US" w:eastAsia="zh-CN"/>
        </w:rPr>
        <w:t xml:space="preserve">Regarding Pattern 1, the inter-slot FH bundling is based on consecutive slots. That is, one bundle contains consecutive slots which could be either DL or UL slots. For Pattern 2, the inter-slot FH bundling is based on available slots. That is, one bundle can only include the slots for actual PUSCH transmission(s). It seems no much difference among above two patterns, since they all have three hops while joint channel estimation can only be done in one hop. However, there could be differences if different TDD configuration or different bundling size is assumed. As a result, the inter-slot FH bundling pattern for TDD should be further studied. </w:t>
      </w:r>
    </w:p>
    <w:p>
      <w:pPr>
        <w:rPr>
          <w:rFonts w:hint="eastAsia"/>
          <w:b w:val="0"/>
          <w:bCs w:val="0"/>
          <w:i/>
          <w:iCs/>
          <w:lang w:val="en-US" w:eastAsia="zh-CN"/>
        </w:rPr>
      </w:pPr>
      <w:r>
        <w:rPr>
          <w:rFonts w:hint="eastAsia"/>
          <w:b/>
          <w:bCs/>
          <w:i/>
          <w:iCs/>
          <w:lang w:eastAsia="zh-CN"/>
        </w:rPr>
        <w:t xml:space="preserve">Proposal </w:t>
      </w:r>
      <w:r>
        <w:rPr>
          <w:rFonts w:hint="eastAsia"/>
          <w:b/>
          <w:bCs/>
          <w:i/>
          <w:iCs/>
          <w:lang w:val="en-US" w:eastAsia="zh-CN"/>
        </w:rPr>
        <w:t>5</w:t>
      </w:r>
      <w:r>
        <w:rPr>
          <w:rFonts w:hint="eastAsia"/>
          <w:b/>
          <w:bCs/>
          <w:i/>
          <w:iCs/>
          <w:lang w:eastAsia="zh-CN"/>
        </w:rPr>
        <w:t xml:space="preserve">: </w:t>
      </w:r>
      <w:r>
        <w:rPr>
          <w:rFonts w:hint="eastAsia"/>
          <w:b w:val="0"/>
          <w:bCs w:val="0"/>
          <w:i/>
          <w:iCs/>
          <w:lang w:val="en-US" w:eastAsia="zh-CN"/>
        </w:rPr>
        <w:t xml:space="preserve">FFS the inter-slot FH bundling pattern for TDD operation. </w:t>
      </w:r>
    </w:p>
    <w:p>
      <w:pPr>
        <w:pStyle w:val="3"/>
        <w:bidi w:val="0"/>
        <w:rPr>
          <w:rFonts w:hint="default" w:cs="Times New Roman"/>
          <w:lang w:val="en-US" w:eastAsia="zh-CN"/>
        </w:rPr>
      </w:pPr>
      <w:r>
        <w:rPr>
          <w:rFonts w:hint="eastAsia" w:cs="Times New Roman"/>
          <w:lang w:val="en-US" w:eastAsia="zh-CN"/>
        </w:rPr>
        <w:t>Optimization of DMRS location/granularity in the time domain</w:t>
      </w:r>
    </w:p>
    <w:p>
      <w:pPr>
        <w:rPr>
          <w:rFonts w:hint="default"/>
          <w:color w:val="auto"/>
          <w:lang w:val="en-US" w:eastAsia="zh-CN"/>
        </w:rPr>
      </w:pPr>
      <w:r>
        <w:rPr>
          <w:color w:val="auto"/>
        </w:rPr>
        <w:t xml:space="preserve">Potential optimization of DMRS location/granularity in </w:t>
      </w:r>
      <w:r>
        <w:rPr>
          <w:rFonts w:hint="eastAsia"/>
          <w:color w:val="auto"/>
          <w:lang w:val="en-US" w:eastAsia="zh-CN"/>
        </w:rPr>
        <w:t xml:space="preserve">the </w:t>
      </w:r>
      <w:r>
        <w:rPr>
          <w:color w:val="auto"/>
        </w:rPr>
        <w:t>time domain</w:t>
      </w:r>
      <w:r>
        <w:rPr>
          <w:rFonts w:hint="eastAsia"/>
          <w:color w:val="auto"/>
          <w:lang w:val="en-US" w:eastAsia="zh-CN"/>
        </w:rPr>
        <w:t xml:space="preserve"> was discussed in SI phase. For instance, DMRS may only exist in some of the repetitions, i.e., DMRS-less scheme. The main concern in SI study is from the marginal performance gain and potential unmanageable specification impacts. In the following, we first evaluate whether there is clear performance gain for DMRS </w:t>
      </w:r>
      <w:r>
        <w:rPr>
          <w:color w:val="auto"/>
        </w:rPr>
        <w:t>optimization</w:t>
      </w:r>
      <w:r>
        <w:rPr>
          <w:rFonts w:hint="eastAsia"/>
          <w:color w:val="auto"/>
          <w:lang w:val="en-US" w:eastAsia="zh-CN"/>
        </w:rPr>
        <w:t>, and then provide our views for minimizing the specification impacts.</w:t>
      </w:r>
    </w:p>
    <w:p>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 xml:space="preserve">In Figure 4, different DMRS patterns in the time domain for PUSCH with 8 repetitions are provided. </w:t>
      </w:r>
    </w:p>
    <w:p>
      <w:pPr>
        <w:numPr>
          <w:ilvl w:val="0"/>
          <w:numId w:val="23"/>
        </w:numPr>
        <w:ind w:left="840" w:leftChars="0" w:hanging="420" w:firstLineChars="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DMRS Pattern 1: 1 DMRS symbol in each repetition</w:t>
      </w:r>
    </w:p>
    <w:p>
      <w:pPr>
        <w:numPr>
          <w:ilvl w:val="0"/>
          <w:numId w:val="23"/>
        </w:numPr>
        <w:ind w:left="840" w:leftChars="0" w:hanging="420" w:firstLineChars="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DMRS Pattern 2: 2 DMRS symbols in each repetition</w:t>
      </w:r>
    </w:p>
    <w:p>
      <w:pPr>
        <w:numPr>
          <w:ilvl w:val="0"/>
          <w:numId w:val="23"/>
        </w:numPr>
        <w:ind w:left="840" w:leftChars="0" w:hanging="420" w:firstLineChars="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 xml:space="preserve">DMRS Pattern 3: 1 DMRS symbol in every two repetitions </w:t>
      </w:r>
    </w:p>
    <w:p>
      <w:pPr>
        <w:numPr>
          <w:ilvl w:val="0"/>
          <w:numId w:val="23"/>
        </w:numPr>
        <w:ind w:left="840" w:leftChars="0" w:hanging="420" w:firstLineChars="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 xml:space="preserve">DMRS Pattern 4: 2 DMRS symbols in every two repetitions </w:t>
      </w:r>
    </w:p>
    <w:p>
      <w:pPr>
        <w:rPr>
          <w:rFonts w:hint="default"/>
          <w:color w:val="auto"/>
          <w:highlight w:val="yellow"/>
          <w:lang w:val="en-US" w:eastAsia="zh-CN"/>
        </w:rPr>
      </w:pPr>
    </w:p>
    <w:p>
      <w:r>
        <w:drawing>
          <wp:inline distT="0" distB="0" distL="114300" distR="114300">
            <wp:extent cx="6112510" cy="1777365"/>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112510" cy="1777365"/>
                    </a:xfrm>
                    <a:prstGeom prst="rect">
                      <a:avLst/>
                    </a:prstGeom>
                    <a:noFill/>
                    <a:ln>
                      <a:noFill/>
                    </a:ln>
                  </pic:spPr>
                </pic:pic>
              </a:graphicData>
            </a:graphic>
          </wp:inline>
        </w:drawing>
      </w:r>
    </w:p>
    <w:p>
      <w:pPr>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Figure 4 Different DMRS patterns in the time domain for PUSCH with 8 repetitions</w:t>
      </w:r>
    </w:p>
    <w:p>
      <w:pPr>
        <w:rPr>
          <w:rFonts w:hint="eastAsia"/>
          <w:lang w:val="en-US" w:eastAsia="zh-CN"/>
        </w:rPr>
      </w:pPr>
      <w:r>
        <w:rPr>
          <w:rFonts w:hint="eastAsia"/>
          <w:lang w:val="en-US" w:eastAsia="zh-CN"/>
        </w:rPr>
        <w:t xml:space="preserve">Based on the four </w:t>
      </w:r>
      <w:r>
        <w:rPr>
          <w:rFonts w:hint="default"/>
          <w:lang w:val="en-US" w:eastAsia="zh-CN"/>
        </w:rPr>
        <w:t>DMRS patterns</w:t>
      </w:r>
      <w:r>
        <w:rPr>
          <w:rFonts w:hint="eastAsia"/>
          <w:lang w:val="en-US" w:eastAsia="zh-CN"/>
        </w:rPr>
        <w:t xml:space="preserve"> above,</w:t>
      </w:r>
      <w:r>
        <w:rPr>
          <w:rFonts w:hint="default"/>
          <w:lang w:val="en-US" w:eastAsia="zh-CN"/>
        </w:rPr>
        <w:t xml:space="preserve"> </w:t>
      </w:r>
      <w:r>
        <w:rPr>
          <w:rFonts w:hint="eastAsia"/>
          <w:lang w:val="en-US" w:eastAsia="zh-CN"/>
        </w:rPr>
        <w:t xml:space="preserve">the following 6 cases are considered depending on whether cross-slot joint channel estimation is applied or not. The detailed simulation assumptions are provided in Table A-2 in the appendix. </w:t>
      </w:r>
    </w:p>
    <w:p>
      <w:pPr>
        <w:numPr>
          <w:ilvl w:val="0"/>
          <w:numId w:val="24"/>
        </w:numPr>
        <w:ind w:left="840" w:leftChars="0" w:hanging="420" w:firstLineChars="0"/>
        <w:rPr>
          <w:rFonts w:hint="eastAsia"/>
          <w:lang w:val="en-US" w:eastAsia="zh-CN"/>
        </w:rPr>
      </w:pPr>
      <w:r>
        <w:rPr>
          <w:rFonts w:hint="eastAsia"/>
          <w:lang w:val="en-US" w:eastAsia="zh-CN"/>
        </w:rPr>
        <w:t>Case 1: DMRS pattern 1 without joint channel estimation.</w:t>
      </w:r>
    </w:p>
    <w:p>
      <w:pPr>
        <w:numPr>
          <w:ilvl w:val="0"/>
          <w:numId w:val="24"/>
        </w:numPr>
        <w:ind w:left="840" w:leftChars="0" w:hanging="420" w:firstLineChars="0"/>
        <w:rPr>
          <w:rFonts w:hint="eastAsia"/>
          <w:lang w:val="en-US" w:eastAsia="zh-CN"/>
        </w:rPr>
      </w:pPr>
      <w:r>
        <w:rPr>
          <w:rFonts w:hint="eastAsia"/>
          <w:lang w:val="en-US" w:eastAsia="zh-CN"/>
        </w:rPr>
        <w:t>Case 2: DMRS pattern 2 without joint channel estimation.</w:t>
      </w:r>
    </w:p>
    <w:p>
      <w:pPr>
        <w:numPr>
          <w:ilvl w:val="0"/>
          <w:numId w:val="24"/>
        </w:numPr>
        <w:ind w:left="840" w:leftChars="0" w:hanging="420" w:firstLineChars="0"/>
        <w:rPr>
          <w:rFonts w:hint="eastAsia"/>
          <w:lang w:val="en-US" w:eastAsia="zh-CN"/>
        </w:rPr>
      </w:pPr>
      <w:r>
        <w:rPr>
          <w:rFonts w:hint="eastAsia"/>
          <w:lang w:val="en-US" w:eastAsia="zh-CN"/>
        </w:rPr>
        <w:t>Case 3: DMRS pattern 1 with joint channel estimation.</w:t>
      </w:r>
    </w:p>
    <w:p>
      <w:pPr>
        <w:numPr>
          <w:ilvl w:val="0"/>
          <w:numId w:val="24"/>
        </w:numPr>
        <w:ind w:left="840" w:leftChars="0" w:hanging="420" w:firstLineChars="0"/>
        <w:rPr>
          <w:rFonts w:hint="eastAsia"/>
          <w:lang w:val="en-US" w:eastAsia="zh-CN"/>
        </w:rPr>
      </w:pPr>
      <w:r>
        <w:rPr>
          <w:rFonts w:hint="eastAsia"/>
          <w:lang w:val="en-US" w:eastAsia="zh-CN"/>
        </w:rPr>
        <w:t>Case 4: DMRS pattern 2 with joint channel estimation.</w:t>
      </w:r>
    </w:p>
    <w:p>
      <w:pPr>
        <w:numPr>
          <w:ilvl w:val="0"/>
          <w:numId w:val="24"/>
        </w:numPr>
        <w:ind w:left="840" w:leftChars="0" w:hanging="420" w:firstLineChars="0"/>
        <w:rPr>
          <w:rFonts w:hint="eastAsia"/>
          <w:lang w:val="en-US" w:eastAsia="zh-CN"/>
        </w:rPr>
      </w:pPr>
      <w:r>
        <w:rPr>
          <w:rFonts w:hint="eastAsia"/>
          <w:lang w:val="en-US" w:eastAsia="zh-CN"/>
        </w:rPr>
        <w:t>Case 5: DMRS pattern 3 with joint channel estimation.</w:t>
      </w:r>
    </w:p>
    <w:p>
      <w:pPr>
        <w:numPr>
          <w:ilvl w:val="0"/>
          <w:numId w:val="24"/>
        </w:numPr>
        <w:ind w:left="840" w:leftChars="0" w:hanging="420" w:firstLineChars="0"/>
        <w:rPr>
          <w:rFonts w:hint="eastAsia"/>
          <w:color w:val="auto"/>
          <w:lang w:val="en-US" w:eastAsia="zh-CN"/>
        </w:rPr>
      </w:pPr>
      <w:r>
        <w:rPr>
          <w:rFonts w:hint="eastAsia"/>
          <w:lang w:val="en-US" w:eastAsia="zh-CN"/>
        </w:rPr>
        <w:t>Case 6: DMRS pattern 4 with joint channel estimation.</w:t>
      </w:r>
    </w:p>
    <w:p>
      <w:pPr>
        <w:bidi w:val="0"/>
        <w:rPr>
          <w:rFonts w:hint="default"/>
          <w:lang w:val="en-US" w:eastAsia="zh-CN"/>
        </w:rPr>
      </w:pPr>
      <w:r>
        <w:rPr>
          <w:rFonts w:hint="eastAsia"/>
          <w:lang w:val="en-US" w:eastAsia="zh-CN"/>
        </w:rPr>
        <w:t xml:space="preserve">In Figure 5, the performance impact of frequency offset (FO) is provided, where the FO follows Uniform distribution with </w:t>
      </w:r>
      <w:r>
        <w:rPr>
          <w:rFonts w:hint="eastAsia" w:cs="Times New Roman"/>
          <w:color w:val="000000"/>
          <w:sz w:val="20"/>
          <w:szCs w:val="20"/>
          <w:lang w:val="en-US" w:eastAsia="zh-CN"/>
        </w:rPr>
        <w:t>[-0.1, +0.1] ppm, and</w:t>
      </w:r>
      <w:r>
        <w:rPr>
          <w:rFonts w:hint="eastAsia"/>
          <w:lang w:val="en-US" w:eastAsia="zh-CN"/>
        </w:rPr>
        <w:t xml:space="preserve"> one FO is generated for each PUSCH repetition. </w:t>
      </w:r>
    </w:p>
    <w:p>
      <w:pPr>
        <w:jc w:val="center"/>
      </w:pPr>
      <w:r>
        <w:drawing>
          <wp:inline distT="0" distB="0" distL="114300" distR="114300">
            <wp:extent cx="4808220" cy="3138805"/>
            <wp:effectExtent l="0" t="0" r="5080" b="1079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4808220" cy="3138805"/>
                    </a:xfrm>
                    <a:prstGeom prst="rect">
                      <a:avLst/>
                    </a:prstGeom>
                    <a:noFill/>
                    <a:ln>
                      <a:noFill/>
                    </a:ln>
                  </pic:spPr>
                </pic:pic>
              </a:graphicData>
            </a:graphic>
          </wp:inline>
        </w:drawing>
      </w:r>
    </w:p>
    <w:p>
      <w:pPr>
        <w:jc w:val="center"/>
        <w:rPr>
          <w:rFonts w:hint="eastAsia"/>
          <w:highlight w:val="none"/>
          <w:lang w:val="en-US" w:eastAsia="zh-CN"/>
        </w:rPr>
      </w:pPr>
      <w:r>
        <w:rPr>
          <w:rFonts w:hint="eastAsia"/>
          <w:highlight w:val="none"/>
          <w:lang w:eastAsia="zh-CN"/>
        </w:rPr>
        <w:t xml:space="preserve">Figure </w:t>
      </w:r>
      <w:r>
        <w:rPr>
          <w:rFonts w:hint="eastAsia"/>
          <w:highlight w:val="none"/>
          <w:lang w:val="en-US" w:eastAsia="zh-CN"/>
        </w:rPr>
        <w:t>5</w:t>
      </w:r>
      <w:r>
        <w:rPr>
          <w:rFonts w:hint="eastAsia"/>
          <w:highlight w:val="none"/>
          <w:lang w:eastAsia="zh-CN"/>
        </w:rPr>
        <w:t>. Performance of</w:t>
      </w:r>
      <w:r>
        <w:rPr>
          <w:rFonts w:hint="eastAsia"/>
          <w:highlight w:val="none"/>
          <w:lang w:val="en-US" w:eastAsia="zh-CN"/>
        </w:rPr>
        <w:t xml:space="preserve"> different </w:t>
      </w:r>
      <w:r>
        <w:rPr>
          <w:rFonts w:hint="eastAsia" w:ascii="Times New Roman" w:hAnsi="Times New Roman" w:cs="Times New Roman"/>
          <w:color w:val="auto"/>
          <w:lang w:val="en-US" w:eastAsia="zh-CN"/>
        </w:rPr>
        <w:t>DMRS patterns</w:t>
      </w:r>
      <w:r>
        <w:rPr>
          <w:rFonts w:hint="eastAsia"/>
          <w:highlight w:val="none"/>
          <w:lang w:val="en-US" w:eastAsia="zh-CN"/>
        </w:rPr>
        <w:t xml:space="preserve"> in the time domain for PUSCH with 8 repetitions w/ or w/o FO</w:t>
      </w:r>
    </w:p>
    <w:p>
      <w:pPr>
        <w:jc w:val="both"/>
        <w:rPr>
          <w:rFonts w:hint="default"/>
          <w:highlight w:val="none"/>
          <w:lang w:val="en-US" w:eastAsia="zh-CN"/>
        </w:rPr>
      </w:pPr>
      <w:r>
        <w:rPr>
          <w:rFonts w:hint="eastAsia"/>
          <w:highlight w:val="none"/>
          <w:lang w:val="en-US" w:eastAsia="zh-CN"/>
        </w:rPr>
        <w:t>As can be observed in</w:t>
      </w:r>
      <w:r>
        <w:rPr>
          <w:rFonts w:hint="eastAsia"/>
          <w:highlight w:val="none"/>
          <w:lang w:eastAsia="zh-CN"/>
        </w:rPr>
        <w:t xml:space="preserve"> </w:t>
      </w:r>
      <w:r>
        <w:rPr>
          <w:rFonts w:hint="eastAsia"/>
          <w:highlight w:val="none"/>
          <w:lang w:val="en-US" w:eastAsia="zh-CN"/>
        </w:rPr>
        <w:t>Figure 5</w:t>
      </w:r>
      <w:r>
        <w:rPr>
          <w:rFonts w:hint="eastAsia"/>
          <w:highlight w:val="none"/>
          <w:lang w:eastAsia="zh-CN"/>
        </w:rPr>
        <w:t>,</w:t>
      </w:r>
      <w:r>
        <w:rPr>
          <w:rFonts w:hint="eastAsia"/>
          <w:highlight w:val="none"/>
          <w:lang w:val="en-US" w:eastAsia="zh-CN"/>
        </w:rPr>
        <w:t xml:space="preserve"> we compared the performance with FO and without FO in 700MHz Rural scenario，and the performance difference is very small. That is, the performance impact due to FO is negligible in 700MHz Rural scenario.</w:t>
      </w:r>
    </w:p>
    <w:p>
      <w:pPr>
        <w:numPr>
          <w:ilvl w:val="255"/>
          <w:numId w:val="0"/>
        </w:numPr>
        <w:rPr>
          <w:rFonts w:hint="eastAsia"/>
          <w:i/>
          <w:iCs/>
          <w:color w:val="auto"/>
          <w:lang w:val="en-US" w:eastAsia="zh-CN"/>
        </w:rPr>
      </w:pPr>
      <w:r>
        <w:rPr>
          <w:rFonts w:hint="eastAsia"/>
          <w:b/>
          <w:bCs/>
          <w:i/>
          <w:iCs/>
          <w:highlight w:val="none"/>
          <w:lang w:val="en-US" w:eastAsia="zh-CN"/>
        </w:rPr>
        <w:t xml:space="preserve">Observation 2: </w:t>
      </w:r>
      <w:r>
        <w:rPr>
          <w:rFonts w:hint="eastAsia"/>
          <w:i/>
          <w:iCs/>
          <w:highlight w:val="none"/>
          <w:lang w:val="en-US" w:eastAsia="zh-CN"/>
        </w:rPr>
        <w:t>The performance impact due to frequency offset error is negligible in 700MHz Rural scenario</w:t>
      </w:r>
      <w:r>
        <w:rPr>
          <w:rFonts w:hint="eastAsia"/>
          <w:i/>
          <w:iCs/>
          <w:color w:val="auto"/>
          <w:lang w:val="en-US" w:eastAsia="zh-CN"/>
        </w:rPr>
        <w:t xml:space="preserve">. </w:t>
      </w:r>
    </w:p>
    <w:p>
      <w:pPr>
        <w:jc w:val="both"/>
        <w:rPr>
          <w:rFonts w:hint="default"/>
          <w:highlight w:val="none"/>
          <w:lang w:val="en-US" w:eastAsia="zh-CN"/>
        </w:rPr>
      </w:pPr>
      <w:r>
        <w:rPr>
          <w:rFonts w:hint="eastAsia"/>
          <w:highlight w:val="none"/>
          <w:lang w:val="en-US" w:eastAsia="zh-CN"/>
        </w:rPr>
        <w:t xml:space="preserve">In Figure 6, the performance of different DMRS patterns w/ or w/o joint channel estimation is given. FO is considered in all the simulation cases in Figure 6. </w:t>
      </w:r>
    </w:p>
    <w:p>
      <w:pPr>
        <w:jc w:val="center"/>
      </w:pPr>
      <w:r>
        <w:drawing>
          <wp:inline distT="0" distB="0" distL="114300" distR="114300">
            <wp:extent cx="5245100" cy="4104005"/>
            <wp:effectExtent l="4445" t="4445" r="8255" b="6350"/>
            <wp:docPr id="28"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jc w:val="center"/>
        <w:rPr>
          <w:rFonts w:hint="default"/>
          <w:highlight w:val="none"/>
          <w:lang w:val="en-US" w:eastAsia="zh-CN"/>
        </w:rPr>
      </w:pPr>
      <w:r>
        <w:rPr>
          <w:rFonts w:hint="eastAsia"/>
          <w:highlight w:val="none"/>
          <w:lang w:eastAsia="zh-CN"/>
        </w:rPr>
        <w:t xml:space="preserve">Figure </w:t>
      </w:r>
      <w:r>
        <w:rPr>
          <w:rFonts w:hint="eastAsia"/>
          <w:highlight w:val="none"/>
          <w:lang w:val="en-US" w:eastAsia="zh-CN"/>
        </w:rPr>
        <w:t>6</w:t>
      </w:r>
      <w:r>
        <w:rPr>
          <w:rFonts w:hint="eastAsia"/>
          <w:highlight w:val="none"/>
          <w:lang w:eastAsia="zh-CN"/>
        </w:rPr>
        <w:t>. Performance of</w:t>
      </w:r>
      <w:r>
        <w:rPr>
          <w:rFonts w:hint="eastAsia"/>
          <w:highlight w:val="none"/>
          <w:lang w:val="en-US" w:eastAsia="zh-CN"/>
        </w:rPr>
        <w:t xml:space="preserve"> different </w:t>
      </w:r>
      <w:r>
        <w:rPr>
          <w:rFonts w:hint="eastAsia" w:ascii="Times New Roman" w:hAnsi="Times New Roman" w:cs="Times New Roman"/>
          <w:color w:val="auto"/>
          <w:lang w:val="en-US" w:eastAsia="zh-CN"/>
        </w:rPr>
        <w:t>DMRS patterns</w:t>
      </w:r>
      <w:r>
        <w:rPr>
          <w:rFonts w:hint="eastAsia"/>
          <w:highlight w:val="none"/>
          <w:lang w:val="en-US" w:eastAsia="zh-CN"/>
        </w:rPr>
        <w:t xml:space="preserve"> in the time domain for PUSCH with 8 repetitions</w:t>
      </w:r>
    </w:p>
    <w:p>
      <w:pPr>
        <w:numPr>
          <w:ilvl w:val="255"/>
          <w:numId w:val="0"/>
        </w:numPr>
        <w:rPr>
          <w:rFonts w:hint="default"/>
          <w:highlight w:val="none"/>
          <w:lang w:val="en-US" w:eastAsia="zh-CN"/>
        </w:rPr>
      </w:pPr>
      <w:r>
        <w:rPr>
          <w:rFonts w:hint="eastAsia"/>
          <w:highlight w:val="none"/>
          <w:lang w:val="en-US" w:eastAsia="zh-CN"/>
        </w:rPr>
        <w:t>As can be observed in</w:t>
      </w:r>
      <w:r>
        <w:rPr>
          <w:rFonts w:hint="eastAsia"/>
          <w:highlight w:val="none"/>
          <w:lang w:eastAsia="zh-CN"/>
        </w:rPr>
        <w:t xml:space="preserve"> </w:t>
      </w:r>
      <w:r>
        <w:rPr>
          <w:rFonts w:hint="eastAsia"/>
          <w:highlight w:val="none"/>
          <w:lang w:val="en-US" w:eastAsia="zh-CN"/>
        </w:rPr>
        <w:t>Figure 6</w:t>
      </w:r>
      <w:r>
        <w:rPr>
          <w:rFonts w:hint="eastAsia"/>
          <w:highlight w:val="none"/>
          <w:lang w:eastAsia="zh-CN"/>
        </w:rPr>
        <w:t xml:space="preserve">, </w:t>
      </w:r>
      <w:r>
        <w:rPr>
          <w:rFonts w:hint="eastAsia"/>
          <w:highlight w:val="none"/>
          <w:lang w:val="en-US" w:eastAsia="zh-CN"/>
        </w:rPr>
        <w:t xml:space="preserve">Case 6 can provide additional 2.52 dB, 2.43 dB, 0.15 dB, 0.81 dB and 0.87 dB gain over the Case 1, Case 2, Case 3, Case4 and Case 5 respectively in 700MHz Rural scenario </w:t>
      </w:r>
      <w:r>
        <w:rPr>
          <w:rFonts w:hint="eastAsia"/>
          <w:lang w:val="en-US" w:eastAsia="zh-CN"/>
        </w:rPr>
        <w:t>at target BLER 0.1.</w:t>
      </w:r>
    </w:p>
    <w:p>
      <w:pPr>
        <w:numPr>
          <w:ilvl w:val="255"/>
          <w:numId w:val="0"/>
        </w:numPr>
        <w:rPr>
          <w:rFonts w:hint="eastAsia"/>
          <w:i/>
          <w:iCs/>
          <w:color w:val="auto"/>
          <w:lang w:val="en-US" w:eastAsia="zh-CN"/>
        </w:rPr>
      </w:pPr>
      <w:r>
        <w:rPr>
          <w:rFonts w:hint="eastAsia"/>
          <w:b/>
          <w:bCs/>
          <w:i/>
          <w:iCs/>
          <w:highlight w:val="none"/>
          <w:lang w:val="en-US" w:eastAsia="zh-CN"/>
        </w:rPr>
        <w:t xml:space="preserve">Observation 3: </w:t>
      </w:r>
      <w:r>
        <w:rPr>
          <w:rFonts w:hint="eastAsia"/>
          <w:i/>
          <w:iCs/>
          <w:color w:val="auto"/>
          <w:lang w:val="en-US" w:eastAsia="zh-CN"/>
        </w:rPr>
        <w:t>O</w:t>
      </w:r>
      <w:r>
        <w:rPr>
          <w:i/>
          <w:iCs/>
          <w:color w:val="auto"/>
        </w:rPr>
        <w:t xml:space="preserve">ptimization of DMRS location/granularity in </w:t>
      </w:r>
      <w:r>
        <w:rPr>
          <w:rFonts w:hint="eastAsia"/>
          <w:i/>
          <w:iCs/>
          <w:color w:val="auto"/>
          <w:lang w:val="en-US" w:eastAsia="zh-CN"/>
        </w:rPr>
        <w:t xml:space="preserve">the </w:t>
      </w:r>
      <w:r>
        <w:rPr>
          <w:i/>
          <w:iCs/>
          <w:color w:val="auto"/>
        </w:rPr>
        <w:t>time domain</w:t>
      </w:r>
      <w:r>
        <w:rPr>
          <w:rFonts w:hint="eastAsia"/>
          <w:i/>
          <w:iCs/>
          <w:color w:val="auto"/>
          <w:lang w:val="en-US" w:eastAsia="zh-CN"/>
        </w:rPr>
        <w:t xml:space="preserve"> can provide 0.15~2.52 dB gain for PUSCH repetitions in </w:t>
      </w:r>
      <w:r>
        <w:rPr>
          <w:rFonts w:hint="eastAsia"/>
          <w:i/>
          <w:iCs/>
          <w:highlight w:val="none"/>
          <w:lang w:val="en-US" w:eastAsia="zh-CN"/>
        </w:rPr>
        <w:t>700MHz Rural</w:t>
      </w:r>
      <w:r>
        <w:rPr>
          <w:rFonts w:hint="eastAsia"/>
          <w:highlight w:val="none"/>
          <w:lang w:val="en-US" w:eastAsia="zh-CN"/>
        </w:rPr>
        <w:t xml:space="preserve"> </w:t>
      </w:r>
      <w:r>
        <w:rPr>
          <w:rFonts w:hint="eastAsia"/>
          <w:i/>
          <w:iCs/>
          <w:color w:val="auto"/>
          <w:lang w:val="en-US" w:eastAsia="zh-CN"/>
        </w:rPr>
        <w:t xml:space="preserve">scenario. </w:t>
      </w:r>
    </w:p>
    <w:p>
      <w:pPr>
        <w:numPr>
          <w:ilvl w:val="255"/>
          <w:numId w:val="0"/>
        </w:numPr>
        <w:rPr>
          <w:rFonts w:hint="eastAsia"/>
          <w:color w:val="auto"/>
          <w:lang w:val="en-US" w:eastAsia="zh-CN"/>
        </w:rPr>
      </w:pPr>
      <w:r>
        <w:rPr>
          <w:rFonts w:hint="eastAsia"/>
          <w:i w:val="0"/>
          <w:iCs w:val="0"/>
          <w:color w:val="auto"/>
          <w:lang w:val="en-US" w:eastAsia="zh-CN"/>
        </w:rPr>
        <w:t xml:space="preserve">To minimize the </w:t>
      </w:r>
      <w:r>
        <w:rPr>
          <w:rFonts w:hint="eastAsia"/>
          <w:color w:val="auto"/>
          <w:lang w:val="en-US" w:eastAsia="zh-CN"/>
        </w:rPr>
        <w:t xml:space="preserve">specification efforts, DMRS optimization should be limited to certain UE features. For instance, DMRS optimization is only applied for PUSCH repetition type A. This could avoid lots of discussion on how to design the DMRS due to different segmentation cases for PUSCH repetition type B. In addition, DMRS pattern should not be changed in each repetition. In other words, it should only focus on DMRS optimization among different repetitions, e.g., DMRS may not present in all repetitions. Other limitations, if any, could also be considered. </w:t>
      </w:r>
    </w:p>
    <w:p>
      <w:pPr>
        <w:numPr>
          <w:ilvl w:val="255"/>
          <w:numId w:val="0"/>
        </w:numPr>
        <w:rPr>
          <w:rFonts w:hint="eastAsia"/>
          <w:color w:val="auto"/>
          <w:lang w:val="en-US" w:eastAsia="zh-CN"/>
        </w:rPr>
      </w:pPr>
      <w:r>
        <w:rPr>
          <w:rFonts w:hint="eastAsia"/>
          <w:color w:val="auto"/>
          <w:lang w:val="en-US" w:eastAsia="zh-CN"/>
        </w:rPr>
        <w:t xml:space="preserve">In addition, the above discussed PUSCH repetition bundling for inter-slot FH could be considered to apply for DMRS optimization. For instance, DMRS optimization is based on each bundle, and DMRS pattern is the same among different bundles.  </w:t>
      </w:r>
    </w:p>
    <w:p>
      <w:pPr>
        <w:numPr>
          <w:ilvl w:val="255"/>
          <w:numId w:val="0"/>
        </w:numPr>
        <w:rPr>
          <w:rFonts w:hint="default"/>
          <w:color w:val="auto"/>
          <w:lang w:val="en-US" w:eastAsia="zh-CN"/>
        </w:rPr>
      </w:pPr>
      <w:r>
        <w:rPr>
          <w:rFonts w:hint="eastAsia"/>
          <w:color w:val="auto"/>
          <w:lang w:val="en-US" w:eastAsia="zh-CN"/>
        </w:rPr>
        <w:t xml:space="preserve">With discussion above, we have the following proposal. </w:t>
      </w:r>
    </w:p>
    <w:p>
      <w:pPr>
        <w:numPr>
          <w:ilvl w:val="255"/>
          <w:numId w:val="0"/>
        </w:numPr>
        <w:rPr>
          <w:rFonts w:hint="default"/>
          <w:i/>
          <w:iCs/>
          <w:color w:val="auto"/>
          <w:lang w:val="en-US" w:eastAsia="zh-CN"/>
        </w:rPr>
      </w:pPr>
      <w:r>
        <w:rPr>
          <w:rFonts w:hint="eastAsia"/>
          <w:b/>
          <w:bCs/>
          <w:i/>
          <w:iCs/>
          <w:lang w:eastAsia="zh-CN"/>
        </w:rPr>
        <w:t xml:space="preserve">Proposal </w:t>
      </w:r>
      <w:r>
        <w:rPr>
          <w:rFonts w:hint="eastAsia"/>
          <w:b/>
          <w:bCs/>
          <w:i/>
          <w:iCs/>
          <w:lang w:val="en-US" w:eastAsia="zh-CN"/>
        </w:rPr>
        <w:t>6</w:t>
      </w:r>
      <w:r>
        <w:rPr>
          <w:rFonts w:hint="eastAsia"/>
          <w:b/>
          <w:bCs/>
          <w:i/>
          <w:iCs/>
          <w:lang w:eastAsia="zh-CN"/>
        </w:rPr>
        <w:t>:</w:t>
      </w:r>
      <w:r>
        <w:rPr>
          <w:rFonts w:hint="eastAsia"/>
          <w:b/>
          <w:bCs/>
          <w:i/>
          <w:iCs/>
          <w:lang w:val="en-US" w:eastAsia="zh-CN"/>
        </w:rPr>
        <w:t xml:space="preserve"> </w:t>
      </w:r>
      <w:r>
        <w:rPr>
          <w:rFonts w:hint="eastAsia"/>
          <w:b w:val="0"/>
          <w:bCs w:val="0"/>
          <w:i/>
          <w:iCs/>
          <w:lang w:val="en-US" w:eastAsia="zh-CN"/>
        </w:rPr>
        <w:t>Support</w:t>
      </w:r>
      <w:r>
        <w:rPr>
          <w:rFonts w:hint="eastAsia"/>
          <w:b w:val="0"/>
          <w:bCs w:val="0"/>
          <w:i/>
          <w:iCs/>
          <w:lang w:eastAsia="zh-CN"/>
        </w:rPr>
        <w:t xml:space="preserve"> </w:t>
      </w:r>
      <w:r>
        <w:rPr>
          <w:rFonts w:hint="eastAsia"/>
          <w:b w:val="0"/>
          <w:bCs w:val="0"/>
          <w:i/>
          <w:iCs/>
          <w:lang w:val="en-US" w:eastAsia="zh-CN"/>
        </w:rPr>
        <w:t>o</w:t>
      </w:r>
      <w:r>
        <w:rPr>
          <w:i/>
          <w:iCs/>
          <w:color w:val="auto"/>
        </w:rPr>
        <w:t xml:space="preserve">ptimization of DMRS location/granularity in </w:t>
      </w:r>
      <w:r>
        <w:rPr>
          <w:rFonts w:hint="eastAsia"/>
          <w:i/>
          <w:iCs/>
          <w:color w:val="auto"/>
          <w:lang w:val="en-US" w:eastAsia="zh-CN"/>
        </w:rPr>
        <w:t xml:space="preserve">the </w:t>
      </w:r>
      <w:r>
        <w:rPr>
          <w:i/>
          <w:iCs/>
          <w:color w:val="auto"/>
        </w:rPr>
        <w:t>time domain</w:t>
      </w:r>
      <w:r>
        <w:rPr>
          <w:rFonts w:hint="eastAsia"/>
          <w:i/>
          <w:iCs/>
          <w:color w:val="auto"/>
          <w:lang w:val="en-US" w:eastAsia="zh-CN"/>
        </w:rPr>
        <w:t xml:space="preserve"> with minimized specification impacts by at last the following conditions. </w:t>
      </w:r>
    </w:p>
    <w:p>
      <w:pPr>
        <w:numPr>
          <w:ilvl w:val="0"/>
          <w:numId w:val="25"/>
        </w:numPr>
        <w:ind w:left="840" w:leftChars="0" w:hanging="420" w:firstLineChars="0"/>
        <w:rPr>
          <w:rFonts w:hint="default"/>
          <w:i/>
          <w:iCs/>
          <w:color w:val="auto"/>
          <w:lang w:val="en-US" w:eastAsia="zh-CN"/>
        </w:rPr>
      </w:pPr>
      <w:r>
        <w:rPr>
          <w:rFonts w:hint="eastAsia"/>
          <w:i/>
          <w:iCs/>
          <w:color w:val="auto"/>
          <w:lang w:val="en-US" w:eastAsia="zh-CN"/>
        </w:rPr>
        <w:t>DMRS optimization is only applied for PUSCH repetition type A.</w:t>
      </w:r>
    </w:p>
    <w:p>
      <w:pPr>
        <w:numPr>
          <w:ilvl w:val="0"/>
          <w:numId w:val="25"/>
        </w:numPr>
        <w:ind w:left="840" w:leftChars="0" w:hanging="420" w:firstLineChars="0"/>
        <w:rPr>
          <w:rFonts w:hint="default"/>
          <w:i/>
          <w:iCs/>
          <w:color w:val="auto"/>
          <w:lang w:val="en-US" w:eastAsia="zh-CN"/>
        </w:rPr>
      </w:pPr>
      <w:r>
        <w:rPr>
          <w:rFonts w:hint="eastAsia"/>
          <w:i/>
          <w:iCs/>
          <w:color w:val="auto"/>
          <w:lang w:val="en-US" w:eastAsia="zh-CN"/>
        </w:rPr>
        <w:t xml:space="preserve">DMRS pattern in each repetition is not changed. </w:t>
      </w:r>
    </w:p>
    <w:p>
      <w:pPr>
        <w:numPr>
          <w:ilvl w:val="0"/>
          <w:numId w:val="25"/>
        </w:numPr>
        <w:ind w:left="840" w:leftChars="0" w:hanging="420" w:firstLineChars="0"/>
        <w:rPr>
          <w:rFonts w:hint="default"/>
          <w:b w:val="0"/>
          <w:bCs w:val="0"/>
          <w:i/>
          <w:iCs/>
          <w:lang w:val="en-US" w:eastAsia="zh-CN"/>
        </w:rPr>
      </w:pPr>
      <w:r>
        <w:rPr>
          <w:rFonts w:hint="eastAsia"/>
          <w:i/>
          <w:iCs/>
          <w:color w:val="auto"/>
          <w:lang w:val="en-US" w:eastAsia="zh-CN"/>
        </w:rPr>
        <w:t xml:space="preserve">Consider to reuse the repetition bundle defined for inter-slot FH for DMRS optimization. </w:t>
      </w:r>
    </w:p>
    <w:p>
      <w:pPr>
        <w:pStyle w:val="2"/>
        <w:tabs>
          <w:tab w:val="left" w:pos="432"/>
        </w:tabs>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According to the analysis given above, we have the following</w:t>
      </w:r>
      <w:r>
        <w:rPr>
          <w:rFonts w:hint="eastAsia"/>
          <w:lang w:val="en-US" w:eastAsia="zh-CN"/>
        </w:rPr>
        <w:t xml:space="preserve"> observations and</w:t>
      </w:r>
      <w:r>
        <w:rPr>
          <w:rFonts w:hint="eastAsia" w:eastAsia="宋体"/>
          <w:lang w:val="en-US" w:eastAsia="zh-CN"/>
        </w:rPr>
        <w:t xml:space="preserve"> proposals:</w:t>
      </w:r>
    </w:p>
    <w:p>
      <w:pPr>
        <w:pStyle w:val="97"/>
        <w:keepNext w:val="0"/>
        <w:keepLines w:val="0"/>
        <w:pageBreakBefore w:val="0"/>
        <w:widowControl/>
        <w:kinsoku/>
        <w:wordWrap/>
        <w:overflowPunct w:val="0"/>
        <w:topLinePunct w:val="0"/>
        <w:autoSpaceDE w:val="0"/>
        <w:autoSpaceDN w:val="0"/>
        <w:bidi w:val="0"/>
        <w:adjustRightInd w:val="0"/>
        <w:snapToGrid w:val="0"/>
        <w:spacing w:after="60"/>
        <w:textAlignment w:val="baseline"/>
        <w:rPr>
          <w:rStyle w:val="153"/>
          <w:rFonts w:hint="eastAsia"/>
          <w:b w:val="0"/>
          <w:bCs w:val="0"/>
          <w:i/>
          <w:iCs/>
          <w:lang w:val="en-US" w:eastAsia="zh-CN"/>
        </w:rPr>
      </w:pPr>
      <w:r>
        <w:rPr>
          <w:rStyle w:val="153"/>
          <w:rFonts w:hint="eastAsia"/>
          <w:b/>
          <w:bCs/>
          <w:i/>
          <w:iCs/>
          <w:lang w:val="en-US" w:eastAsia="zh-CN"/>
        </w:rPr>
        <w:t xml:space="preserve">Proposal 1: </w:t>
      </w:r>
      <w:r>
        <w:rPr>
          <w:rStyle w:val="153"/>
          <w:rFonts w:hint="eastAsia"/>
          <w:b w:val="0"/>
          <w:bCs w:val="0"/>
          <w:i/>
          <w:iCs/>
          <w:lang w:val="en-US" w:eastAsia="zh-CN"/>
        </w:rPr>
        <w:t xml:space="preserve">Support </w:t>
      </w:r>
      <w:r>
        <w:rPr>
          <w:rFonts w:hint="eastAsia" w:ascii="Times New Roman" w:hAnsi="Times New Roman" w:cs="Times New Roman"/>
          <w:b w:val="0"/>
          <w:bCs w:val="0"/>
          <w:i/>
          <w:iCs/>
          <w:color w:val="auto"/>
          <w:sz w:val="20"/>
          <w:szCs w:val="20"/>
          <w:lang w:val="en-US" w:eastAsia="zh-CN"/>
        </w:rPr>
        <w:t xml:space="preserve">use case 1 </w:t>
      </w:r>
      <w:r>
        <w:rPr>
          <w:rStyle w:val="153"/>
          <w:rFonts w:hint="eastAsia"/>
          <w:b w:val="0"/>
          <w:bCs w:val="0"/>
          <w:i/>
          <w:iCs/>
          <w:lang w:val="en-US" w:eastAsia="zh-CN"/>
        </w:rPr>
        <w:t>(</w:t>
      </w:r>
      <w:r>
        <w:rPr>
          <w:rStyle w:val="153"/>
          <w:rFonts w:hint="eastAsia" w:eastAsia="宋体"/>
          <w:b w:val="0"/>
          <w:bCs w:val="0"/>
          <w:i/>
          <w:iCs/>
          <w:lang w:val="en-US" w:eastAsia="ko-KR"/>
        </w:rPr>
        <w:t>back-to-back PUSCH transmissions within one slot</w:t>
      </w:r>
      <w:r>
        <w:rPr>
          <w:rStyle w:val="153"/>
          <w:rFonts w:hint="eastAsia"/>
          <w:b w:val="0"/>
          <w:bCs w:val="0"/>
          <w:i/>
          <w:iCs/>
          <w:lang w:val="en-US" w:eastAsia="zh-CN"/>
        </w:rPr>
        <w:t>)</w:t>
      </w:r>
      <w:r>
        <w:rPr>
          <w:rFonts w:hint="eastAsia" w:ascii="Times New Roman" w:hAnsi="Times New Roman" w:cs="Times New Roman"/>
          <w:b w:val="0"/>
          <w:bCs w:val="0"/>
          <w:i/>
          <w:iCs/>
          <w:color w:val="auto"/>
          <w:sz w:val="20"/>
          <w:szCs w:val="20"/>
          <w:lang w:val="en-US" w:eastAsia="zh-CN"/>
        </w:rPr>
        <w:t xml:space="preserve"> for </w:t>
      </w:r>
      <w:r>
        <w:rPr>
          <w:rStyle w:val="153"/>
          <w:rFonts w:hint="eastAsia" w:eastAsia="宋体"/>
          <w:b w:val="0"/>
          <w:bCs w:val="0"/>
          <w:i/>
          <w:iCs/>
          <w:lang w:val="en-US" w:eastAsia="ko-KR"/>
        </w:rPr>
        <w:t>joint channel estimation for PUSCH</w:t>
      </w:r>
      <w:r>
        <w:rPr>
          <w:rStyle w:val="153"/>
          <w:rFonts w:hint="eastAsia"/>
          <w:b w:val="0"/>
          <w:bCs w:val="0"/>
          <w:i/>
          <w:iCs/>
          <w:lang w:val="en-US" w:eastAsia="zh-CN"/>
        </w:rPr>
        <w:t xml:space="preserve">. </w:t>
      </w:r>
    </w:p>
    <w:p>
      <w:pPr>
        <w:pStyle w:val="97"/>
        <w:numPr>
          <w:ilvl w:val="0"/>
          <w:numId w:val="20"/>
        </w:numPr>
        <w:ind w:left="420" w:leftChars="0" w:hanging="420" w:firstLineChars="0"/>
        <w:rPr>
          <w:rFonts w:hint="eastAsia" w:ascii="Times New Roman" w:hAnsi="Times New Roman" w:cs="Times New Roman"/>
          <w:b w:val="0"/>
          <w:bCs w:val="0"/>
          <w:i/>
          <w:iCs/>
          <w:color w:val="auto"/>
          <w:sz w:val="20"/>
          <w:szCs w:val="20"/>
          <w:lang w:val="en-US" w:eastAsia="zh-CN"/>
        </w:rPr>
      </w:pPr>
      <w:r>
        <w:rPr>
          <w:rStyle w:val="153"/>
          <w:rFonts w:hint="eastAsia"/>
          <w:b w:val="0"/>
          <w:bCs w:val="0"/>
          <w:i/>
          <w:iCs/>
          <w:lang w:val="en-US" w:eastAsia="zh-CN"/>
        </w:rPr>
        <w:t>Joint channel estimation for PUSCH repetition type B is supported while o</w:t>
      </w:r>
      <w:r>
        <w:rPr>
          <w:rFonts w:ascii="Times New Roman" w:hAnsi="Times New Roman" w:cs="Times New Roman"/>
          <w:b w:val="0"/>
          <w:bCs w:val="0"/>
          <w:i/>
          <w:iCs/>
          <w:color w:val="auto"/>
          <w:sz w:val="20"/>
          <w:szCs w:val="20"/>
        </w:rPr>
        <w:t>ptimization specific for </w:t>
      </w:r>
      <w:r>
        <w:rPr>
          <w:rStyle w:val="153"/>
          <w:rFonts w:hint="eastAsia"/>
          <w:b w:val="0"/>
          <w:bCs w:val="0"/>
          <w:i/>
          <w:iCs/>
          <w:lang w:val="en-US" w:eastAsia="zh-CN"/>
        </w:rPr>
        <w:t>PUSCH repetition type B</w:t>
      </w:r>
      <w:r>
        <w:rPr>
          <w:rFonts w:ascii="Times New Roman" w:hAnsi="Times New Roman" w:cs="Times New Roman"/>
          <w:b w:val="0"/>
          <w:bCs w:val="0"/>
          <w:i/>
          <w:iCs/>
          <w:color w:val="auto"/>
          <w:sz w:val="20"/>
          <w:szCs w:val="20"/>
        </w:rPr>
        <w:t xml:space="preserve"> is not considered.</w:t>
      </w:r>
      <w:r>
        <w:rPr>
          <w:rFonts w:hint="eastAsia" w:ascii="Times New Roman" w:hAnsi="Times New Roman" w:cs="Times New Roman"/>
          <w:b w:val="0"/>
          <w:bCs w:val="0"/>
          <w:i/>
          <w:iCs/>
          <w:color w:val="auto"/>
          <w:sz w:val="20"/>
          <w:szCs w:val="20"/>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eastAsia"/>
          <w:i/>
          <w:iCs/>
          <w:lang w:val="en-US" w:eastAsia="zh-CN"/>
        </w:rPr>
      </w:pPr>
      <w:r>
        <w:rPr>
          <w:rFonts w:hint="eastAsia"/>
          <w:b/>
          <w:bCs/>
          <w:i/>
          <w:iCs/>
          <w:lang w:val="en-US" w:eastAsia="zh-CN"/>
        </w:rPr>
        <w:t xml:space="preserve">Proposal 2: </w:t>
      </w:r>
      <w:r>
        <w:rPr>
          <w:rFonts w:hint="eastAsia"/>
          <w:i/>
          <w:iCs/>
          <w:lang w:val="en-US" w:eastAsia="zh-CN"/>
        </w:rPr>
        <w:t>As long as the condition of power consistency and phase continuity defined by RAN4 can be met, support use case 2 (</w:t>
      </w:r>
      <w:r>
        <w:rPr>
          <w:rFonts w:hint="eastAsia"/>
          <w:i/>
          <w:iCs/>
          <w:lang w:val="en-US" w:eastAsia="ko-KR"/>
        </w:rPr>
        <w:t>non-back-to-back PUSCH transmissions within one slot</w:t>
      </w:r>
      <w:r>
        <w:rPr>
          <w:rFonts w:hint="eastAsia"/>
          <w:i/>
          <w:iCs/>
          <w:lang w:val="en-US" w:eastAsia="zh-CN"/>
        </w:rPr>
        <w:t>) and use case 4 (</w:t>
      </w:r>
      <w:r>
        <w:rPr>
          <w:rFonts w:hint="eastAsia"/>
          <w:i/>
          <w:iCs/>
          <w:lang w:val="en-US" w:eastAsia="ko-KR"/>
        </w:rPr>
        <w:t>non-back-to-back PUSCH transmissions across consecutive slots</w:t>
      </w:r>
      <w:r>
        <w:rPr>
          <w:rFonts w:hint="eastAsia"/>
          <w:i/>
          <w:iCs/>
          <w:lang w:val="en-US" w:eastAsia="zh-CN"/>
        </w:rPr>
        <w:t xml:space="preserve">) for </w:t>
      </w:r>
      <w:r>
        <w:rPr>
          <w:rFonts w:hint="eastAsia"/>
          <w:i/>
          <w:iCs/>
          <w:lang w:val="en-US" w:eastAsia="ko-KR"/>
        </w:rPr>
        <w:t>joint channel estimation for PUSCH</w:t>
      </w:r>
      <w:r>
        <w:rPr>
          <w:rFonts w:hint="eastAsia"/>
          <w:i/>
          <w:iCs/>
          <w:lang w:val="en-US" w:eastAsia="zh-CN"/>
        </w:rPr>
        <w:t xml:space="preserve">. </w:t>
      </w:r>
    </w:p>
    <w:p>
      <w:pPr>
        <w:rPr>
          <w:rFonts w:hint="eastAsia"/>
          <w:lang w:val="en-US" w:eastAsia="zh-CN"/>
        </w:rPr>
      </w:pPr>
      <w:r>
        <w:rPr>
          <w:rFonts w:hint="eastAsia"/>
          <w:b/>
          <w:bCs/>
          <w:i/>
          <w:iCs/>
          <w:lang w:val="en-US" w:eastAsia="zh-CN"/>
        </w:rPr>
        <w:t xml:space="preserve">Proposal 3: </w:t>
      </w:r>
      <w:r>
        <w:rPr>
          <w:rFonts w:hint="eastAsia"/>
          <w:b w:val="0"/>
          <w:bCs w:val="0"/>
          <w:i/>
          <w:iCs/>
          <w:lang w:val="en-US" w:eastAsia="zh-CN"/>
        </w:rPr>
        <w:t xml:space="preserve">De-prioritize use case 5 for </w:t>
      </w:r>
      <w:r>
        <w:rPr>
          <w:rFonts w:hint="eastAsia"/>
          <w:b w:val="0"/>
          <w:bCs w:val="0"/>
          <w:i/>
          <w:iCs/>
          <w:lang w:val="en-US" w:eastAsia="ko-KR"/>
        </w:rPr>
        <w:t>joint channel estimation for PUSCH</w:t>
      </w:r>
      <w:r>
        <w:rPr>
          <w:rFonts w:hint="eastAsia"/>
          <w:b w:val="0"/>
          <w:bCs w:val="0"/>
          <w:i/>
          <w:iCs/>
          <w:lang w:val="en-US" w:eastAsia="zh-CN"/>
        </w:rPr>
        <w:t xml:space="preserve">. </w:t>
      </w:r>
    </w:p>
    <w:p>
      <w:pPr>
        <w:numPr>
          <w:ilvl w:val="255"/>
          <w:numId w:val="0"/>
        </w:numPr>
        <w:rPr>
          <w:rFonts w:hint="default"/>
          <w:i/>
          <w:iCs/>
          <w:lang w:val="en-US" w:eastAsia="zh-CN"/>
        </w:rPr>
      </w:pPr>
      <w:r>
        <w:rPr>
          <w:rFonts w:hint="eastAsia"/>
          <w:b/>
          <w:bCs/>
          <w:i/>
          <w:iCs/>
          <w:highlight w:val="none"/>
          <w:lang w:val="en-US" w:eastAsia="zh-CN"/>
        </w:rPr>
        <w:t xml:space="preserve">Observation 1: </w:t>
      </w:r>
      <w:r>
        <w:rPr>
          <w:rFonts w:hint="eastAsia"/>
          <w:i/>
          <w:iCs/>
          <w:highlight w:val="none"/>
          <w:lang w:val="en-US" w:eastAsia="zh-CN"/>
        </w:rPr>
        <w:t>I</w:t>
      </w:r>
      <w:r>
        <w:rPr>
          <w:i/>
          <w:iCs/>
        </w:rPr>
        <w:t xml:space="preserve">nter-slot </w:t>
      </w:r>
      <w:r>
        <w:rPr>
          <w:rFonts w:hint="eastAsia"/>
          <w:i/>
          <w:iCs/>
          <w:lang w:val="en-US" w:eastAsia="zh-CN"/>
        </w:rPr>
        <w:t>FH</w:t>
      </w:r>
      <w:r>
        <w:rPr>
          <w:i/>
          <w:iCs/>
        </w:rPr>
        <w:t xml:space="preserve"> with inter-slot bundling</w:t>
      </w:r>
      <w:r>
        <w:rPr>
          <w:rFonts w:hint="eastAsia"/>
          <w:i/>
          <w:iCs/>
          <w:lang w:val="en-US" w:eastAsia="zh-CN"/>
        </w:rPr>
        <w:t xml:space="preserve"> to enable joint channel estimation can provide up to 2.66 dB gain for PUSCH with 8 repetitions in </w:t>
      </w:r>
      <w:r>
        <w:rPr>
          <w:rFonts w:hint="eastAsia"/>
          <w:i/>
          <w:iCs/>
          <w:highlight w:val="none"/>
          <w:lang w:val="en-US" w:eastAsia="zh-CN"/>
        </w:rPr>
        <w:t>700MHz rural scenario</w:t>
      </w:r>
      <w:r>
        <w:rPr>
          <w:rFonts w:hint="eastAsia"/>
          <w:i/>
          <w:iCs/>
          <w:lang w:val="en-US" w:eastAsia="zh-CN"/>
        </w:rPr>
        <w:t xml:space="preserve">. </w:t>
      </w:r>
    </w:p>
    <w:p>
      <w:pPr>
        <w:numPr>
          <w:ilvl w:val="255"/>
          <w:numId w:val="0"/>
        </w:numPr>
        <w:rPr>
          <w:rFonts w:hint="eastAsia"/>
          <w:b w:val="0"/>
          <w:bCs w:val="0"/>
          <w:i/>
          <w:iCs/>
          <w:highlight w:val="none"/>
          <w:lang w:val="en-US" w:eastAsia="zh-CN"/>
        </w:rPr>
      </w:pPr>
      <w:r>
        <w:rPr>
          <w:rFonts w:hint="eastAsia"/>
          <w:b/>
          <w:bCs/>
          <w:i/>
          <w:iCs/>
          <w:highlight w:val="none"/>
          <w:lang w:eastAsia="zh-CN"/>
        </w:rPr>
        <w:t xml:space="preserve">Proposal </w:t>
      </w:r>
      <w:r>
        <w:rPr>
          <w:rFonts w:hint="eastAsia"/>
          <w:b/>
          <w:bCs/>
          <w:i/>
          <w:iCs/>
          <w:highlight w:val="none"/>
          <w:lang w:val="en-US" w:eastAsia="zh-CN"/>
        </w:rPr>
        <w:t>4</w:t>
      </w:r>
      <w:r>
        <w:rPr>
          <w:rFonts w:hint="eastAsia"/>
          <w:b/>
          <w:bCs/>
          <w:i/>
          <w:iCs/>
          <w:highlight w:val="none"/>
          <w:lang w:eastAsia="zh-CN"/>
        </w:rPr>
        <w:t xml:space="preserve">: </w:t>
      </w:r>
      <w:r>
        <w:rPr>
          <w:rFonts w:hint="eastAsia"/>
          <w:b w:val="0"/>
          <w:bCs w:val="0"/>
          <w:i/>
          <w:iCs/>
          <w:highlight w:val="none"/>
          <w:lang w:val="en-US" w:eastAsia="zh-CN"/>
        </w:rPr>
        <w:t xml:space="preserve">For the determination of inter-slot bundling size for inter-slot FH, RAN1 down-selects from the two options below. </w:t>
      </w:r>
    </w:p>
    <w:p>
      <w:pPr>
        <w:numPr>
          <w:ilvl w:val="0"/>
          <w:numId w:val="22"/>
        </w:numPr>
        <w:ind w:left="840" w:leftChars="0" w:hanging="420" w:firstLineChars="0"/>
        <w:rPr>
          <w:rFonts w:hint="eastAsia"/>
          <w:highlight w:val="none"/>
          <w:lang w:val="en-US" w:eastAsia="zh-CN"/>
        </w:rPr>
      </w:pPr>
      <w:r>
        <w:rPr>
          <w:rFonts w:hint="eastAsia"/>
          <w:b w:val="0"/>
          <w:bCs w:val="0"/>
          <w:i/>
          <w:iCs/>
          <w:highlight w:val="none"/>
          <w:lang w:val="en-US" w:eastAsia="zh-CN"/>
        </w:rPr>
        <w:t xml:space="preserve">Option 1: Inter-slot bundling size is </w:t>
      </w:r>
      <w:r>
        <w:rPr>
          <w:rFonts w:hint="eastAsia"/>
          <w:i/>
          <w:iCs/>
          <w:highlight w:val="none"/>
          <w:lang w:val="en-US" w:eastAsia="zh-CN"/>
        </w:rPr>
        <w:t xml:space="preserve">implicitly determined by the number of repetitions K, e.g., floor (K/2) or cell(K/2). </w:t>
      </w:r>
    </w:p>
    <w:p>
      <w:pPr>
        <w:numPr>
          <w:ilvl w:val="0"/>
          <w:numId w:val="22"/>
        </w:numPr>
        <w:ind w:left="840" w:leftChars="0" w:hanging="420" w:firstLineChars="0"/>
        <w:rPr>
          <w:rFonts w:hint="eastAsia"/>
          <w:highlight w:val="none"/>
          <w:lang w:val="en-US" w:eastAsia="zh-CN"/>
        </w:rPr>
      </w:pPr>
      <w:r>
        <w:rPr>
          <w:rFonts w:hint="eastAsia"/>
          <w:i/>
          <w:iCs/>
          <w:highlight w:val="none"/>
          <w:lang w:val="en-US" w:eastAsia="zh-CN"/>
        </w:rPr>
        <w:t xml:space="preserve">Option 2: </w:t>
      </w:r>
      <w:r>
        <w:rPr>
          <w:rFonts w:hint="eastAsia"/>
          <w:b w:val="0"/>
          <w:bCs w:val="0"/>
          <w:i/>
          <w:iCs/>
          <w:highlight w:val="none"/>
          <w:lang w:val="en-US" w:eastAsia="zh-CN"/>
        </w:rPr>
        <w:t xml:space="preserve">Inter-slot bundling size is </w:t>
      </w:r>
      <w:r>
        <w:rPr>
          <w:rFonts w:hint="eastAsia"/>
          <w:i/>
          <w:iCs/>
          <w:highlight w:val="none"/>
          <w:lang w:val="en-US" w:eastAsia="zh-CN"/>
        </w:rPr>
        <w:t xml:space="preserve">RRC </w:t>
      </w:r>
      <w:r>
        <w:rPr>
          <w:rFonts w:hint="eastAsia"/>
          <w:b w:val="0"/>
          <w:bCs w:val="0"/>
          <w:i/>
          <w:iCs/>
          <w:highlight w:val="none"/>
          <w:lang w:val="en-US" w:eastAsia="zh-CN"/>
        </w:rPr>
        <w:t xml:space="preserve">configured or dynamically indicated to a UE. </w:t>
      </w:r>
    </w:p>
    <w:p>
      <w:pPr>
        <w:rPr>
          <w:rFonts w:hint="eastAsia"/>
          <w:b w:val="0"/>
          <w:bCs w:val="0"/>
          <w:i/>
          <w:iCs/>
          <w:lang w:val="en-US" w:eastAsia="zh-CN"/>
        </w:rPr>
      </w:pPr>
      <w:r>
        <w:rPr>
          <w:rFonts w:hint="eastAsia"/>
          <w:b/>
          <w:bCs/>
          <w:i/>
          <w:iCs/>
          <w:lang w:eastAsia="zh-CN"/>
        </w:rPr>
        <w:t xml:space="preserve">Proposal </w:t>
      </w:r>
      <w:r>
        <w:rPr>
          <w:rFonts w:hint="eastAsia"/>
          <w:b/>
          <w:bCs/>
          <w:i/>
          <w:iCs/>
          <w:lang w:val="en-US" w:eastAsia="zh-CN"/>
        </w:rPr>
        <w:t>5</w:t>
      </w:r>
      <w:r>
        <w:rPr>
          <w:rFonts w:hint="eastAsia"/>
          <w:b/>
          <w:bCs/>
          <w:i/>
          <w:iCs/>
          <w:lang w:eastAsia="zh-CN"/>
        </w:rPr>
        <w:t xml:space="preserve">: </w:t>
      </w:r>
      <w:r>
        <w:rPr>
          <w:rFonts w:hint="eastAsia"/>
          <w:b w:val="0"/>
          <w:bCs w:val="0"/>
          <w:i/>
          <w:iCs/>
          <w:lang w:val="en-US" w:eastAsia="zh-CN"/>
        </w:rPr>
        <w:t xml:space="preserve">FFS the inter-slot FH bundling pattern for TDD operation. </w:t>
      </w:r>
    </w:p>
    <w:p>
      <w:pPr>
        <w:numPr>
          <w:ilvl w:val="255"/>
          <w:numId w:val="0"/>
        </w:numPr>
        <w:rPr>
          <w:rFonts w:hint="eastAsia"/>
          <w:i/>
          <w:iCs/>
          <w:color w:val="auto"/>
          <w:lang w:val="en-US" w:eastAsia="zh-CN"/>
        </w:rPr>
      </w:pPr>
      <w:r>
        <w:rPr>
          <w:rFonts w:hint="eastAsia"/>
          <w:b/>
          <w:bCs/>
          <w:i/>
          <w:iCs/>
          <w:highlight w:val="none"/>
          <w:lang w:val="en-US" w:eastAsia="zh-CN"/>
        </w:rPr>
        <w:t xml:space="preserve">Observation 2: </w:t>
      </w:r>
      <w:r>
        <w:rPr>
          <w:rFonts w:hint="eastAsia"/>
          <w:i/>
          <w:iCs/>
          <w:highlight w:val="none"/>
          <w:lang w:val="en-US" w:eastAsia="zh-CN"/>
        </w:rPr>
        <w:t>The performance impact due to frequency offset error is negligible in 700MHz Rural scenario</w:t>
      </w:r>
      <w:r>
        <w:rPr>
          <w:rFonts w:hint="eastAsia"/>
          <w:i/>
          <w:iCs/>
          <w:color w:val="auto"/>
          <w:lang w:val="en-US" w:eastAsia="zh-CN"/>
        </w:rPr>
        <w:t xml:space="preserve">. </w:t>
      </w:r>
    </w:p>
    <w:p>
      <w:pPr>
        <w:numPr>
          <w:ilvl w:val="255"/>
          <w:numId w:val="0"/>
        </w:numPr>
        <w:rPr>
          <w:rFonts w:hint="eastAsia"/>
          <w:i/>
          <w:iCs/>
          <w:color w:val="auto"/>
          <w:lang w:val="en-US" w:eastAsia="zh-CN"/>
        </w:rPr>
      </w:pPr>
      <w:r>
        <w:rPr>
          <w:rFonts w:hint="eastAsia"/>
          <w:b/>
          <w:bCs/>
          <w:i/>
          <w:iCs/>
          <w:highlight w:val="none"/>
          <w:lang w:val="en-US" w:eastAsia="zh-CN"/>
        </w:rPr>
        <w:t xml:space="preserve">Observation 3: </w:t>
      </w:r>
      <w:r>
        <w:rPr>
          <w:rFonts w:hint="eastAsia"/>
          <w:i/>
          <w:iCs/>
          <w:color w:val="auto"/>
          <w:lang w:val="en-US" w:eastAsia="zh-CN"/>
        </w:rPr>
        <w:t>O</w:t>
      </w:r>
      <w:r>
        <w:rPr>
          <w:i/>
          <w:iCs/>
          <w:color w:val="auto"/>
        </w:rPr>
        <w:t xml:space="preserve">ptimization of DMRS location/granularity in </w:t>
      </w:r>
      <w:r>
        <w:rPr>
          <w:rFonts w:hint="eastAsia"/>
          <w:i/>
          <w:iCs/>
          <w:color w:val="auto"/>
          <w:lang w:val="en-US" w:eastAsia="zh-CN"/>
        </w:rPr>
        <w:t xml:space="preserve">the </w:t>
      </w:r>
      <w:r>
        <w:rPr>
          <w:i/>
          <w:iCs/>
          <w:color w:val="auto"/>
        </w:rPr>
        <w:t>time domain</w:t>
      </w:r>
      <w:r>
        <w:rPr>
          <w:rFonts w:hint="eastAsia"/>
          <w:i/>
          <w:iCs/>
          <w:color w:val="auto"/>
          <w:lang w:val="en-US" w:eastAsia="zh-CN"/>
        </w:rPr>
        <w:t xml:space="preserve"> can provide 0.15~2.52 dB gain for PUSCH repetitions in </w:t>
      </w:r>
      <w:r>
        <w:rPr>
          <w:rFonts w:hint="eastAsia"/>
          <w:i/>
          <w:iCs/>
          <w:highlight w:val="none"/>
          <w:lang w:val="en-US" w:eastAsia="zh-CN"/>
        </w:rPr>
        <w:t>700MHz Rural</w:t>
      </w:r>
      <w:r>
        <w:rPr>
          <w:rFonts w:hint="eastAsia"/>
          <w:highlight w:val="none"/>
          <w:lang w:val="en-US" w:eastAsia="zh-CN"/>
        </w:rPr>
        <w:t xml:space="preserve"> </w:t>
      </w:r>
      <w:r>
        <w:rPr>
          <w:rFonts w:hint="eastAsia"/>
          <w:i/>
          <w:iCs/>
          <w:color w:val="auto"/>
          <w:lang w:val="en-US" w:eastAsia="zh-CN"/>
        </w:rPr>
        <w:t xml:space="preserve">scenario. </w:t>
      </w:r>
    </w:p>
    <w:p>
      <w:pPr>
        <w:numPr>
          <w:ilvl w:val="255"/>
          <w:numId w:val="0"/>
        </w:numPr>
        <w:rPr>
          <w:rFonts w:hint="default"/>
          <w:i/>
          <w:iCs/>
          <w:color w:val="auto"/>
          <w:lang w:val="en-US" w:eastAsia="zh-CN"/>
        </w:rPr>
      </w:pPr>
      <w:r>
        <w:rPr>
          <w:rFonts w:hint="eastAsia"/>
          <w:b/>
          <w:bCs/>
          <w:i/>
          <w:iCs/>
          <w:lang w:eastAsia="zh-CN"/>
        </w:rPr>
        <w:t xml:space="preserve">Proposal </w:t>
      </w:r>
      <w:r>
        <w:rPr>
          <w:rFonts w:hint="eastAsia"/>
          <w:b/>
          <w:bCs/>
          <w:i/>
          <w:iCs/>
          <w:lang w:val="en-US" w:eastAsia="zh-CN"/>
        </w:rPr>
        <w:t>6</w:t>
      </w:r>
      <w:r>
        <w:rPr>
          <w:rFonts w:hint="eastAsia"/>
          <w:b/>
          <w:bCs/>
          <w:i/>
          <w:iCs/>
          <w:lang w:eastAsia="zh-CN"/>
        </w:rPr>
        <w:t>:</w:t>
      </w:r>
      <w:r>
        <w:rPr>
          <w:rFonts w:hint="eastAsia"/>
          <w:b/>
          <w:bCs/>
          <w:i/>
          <w:iCs/>
          <w:lang w:val="en-US" w:eastAsia="zh-CN"/>
        </w:rPr>
        <w:t xml:space="preserve"> </w:t>
      </w:r>
      <w:r>
        <w:rPr>
          <w:rFonts w:hint="eastAsia"/>
          <w:b w:val="0"/>
          <w:bCs w:val="0"/>
          <w:i/>
          <w:iCs/>
          <w:lang w:val="en-US" w:eastAsia="zh-CN"/>
        </w:rPr>
        <w:t>Support</w:t>
      </w:r>
      <w:r>
        <w:rPr>
          <w:rFonts w:hint="eastAsia"/>
          <w:b w:val="0"/>
          <w:bCs w:val="0"/>
          <w:i/>
          <w:iCs/>
          <w:lang w:eastAsia="zh-CN"/>
        </w:rPr>
        <w:t xml:space="preserve"> </w:t>
      </w:r>
      <w:r>
        <w:rPr>
          <w:rFonts w:hint="eastAsia"/>
          <w:b w:val="0"/>
          <w:bCs w:val="0"/>
          <w:i/>
          <w:iCs/>
          <w:lang w:val="en-US" w:eastAsia="zh-CN"/>
        </w:rPr>
        <w:t>o</w:t>
      </w:r>
      <w:r>
        <w:rPr>
          <w:i/>
          <w:iCs/>
          <w:color w:val="auto"/>
        </w:rPr>
        <w:t xml:space="preserve">ptimization of DMRS location/granularity in </w:t>
      </w:r>
      <w:r>
        <w:rPr>
          <w:rFonts w:hint="eastAsia"/>
          <w:i/>
          <w:iCs/>
          <w:color w:val="auto"/>
          <w:lang w:val="en-US" w:eastAsia="zh-CN"/>
        </w:rPr>
        <w:t xml:space="preserve">the </w:t>
      </w:r>
      <w:r>
        <w:rPr>
          <w:i/>
          <w:iCs/>
          <w:color w:val="auto"/>
        </w:rPr>
        <w:t>time domain</w:t>
      </w:r>
      <w:r>
        <w:rPr>
          <w:rFonts w:hint="eastAsia"/>
          <w:i/>
          <w:iCs/>
          <w:color w:val="auto"/>
          <w:lang w:val="en-US" w:eastAsia="zh-CN"/>
        </w:rPr>
        <w:t xml:space="preserve"> with minimized specification impacts by at last the following conditions. </w:t>
      </w:r>
    </w:p>
    <w:p>
      <w:pPr>
        <w:numPr>
          <w:ilvl w:val="0"/>
          <w:numId w:val="25"/>
        </w:numPr>
        <w:ind w:left="840" w:leftChars="0" w:hanging="420" w:firstLineChars="0"/>
        <w:rPr>
          <w:rFonts w:hint="default"/>
          <w:i/>
          <w:iCs/>
          <w:color w:val="auto"/>
          <w:lang w:val="en-US" w:eastAsia="zh-CN"/>
        </w:rPr>
      </w:pPr>
      <w:r>
        <w:rPr>
          <w:rFonts w:hint="eastAsia"/>
          <w:i/>
          <w:iCs/>
          <w:color w:val="auto"/>
          <w:lang w:val="en-US" w:eastAsia="zh-CN"/>
        </w:rPr>
        <w:t>DMRS optimization is only applied for PUSCH repetition type A.</w:t>
      </w:r>
    </w:p>
    <w:p>
      <w:pPr>
        <w:numPr>
          <w:ilvl w:val="0"/>
          <w:numId w:val="25"/>
        </w:numPr>
        <w:ind w:left="840" w:leftChars="0" w:hanging="420" w:firstLineChars="0"/>
        <w:rPr>
          <w:rFonts w:hint="default"/>
          <w:i/>
          <w:iCs/>
          <w:color w:val="auto"/>
          <w:lang w:val="en-US" w:eastAsia="zh-CN"/>
        </w:rPr>
      </w:pPr>
      <w:r>
        <w:rPr>
          <w:rFonts w:hint="eastAsia"/>
          <w:i/>
          <w:iCs/>
          <w:color w:val="auto"/>
          <w:lang w:val="en-US" w:eastAsia="zh-CN"/>
        </w:rPr>
        <w:t xml:space="preserve">DMRS pattern in each repetition is not changed. </w:t>
      </w:r>
    </w:p>
    <w:p>
      <w:pPr>
        <w:numPr>
          <w:ilvl w:val="0"/>
          <w:numId w:val="25"/>
        </w:numPr>
        <w:ind w:left="840" w:leftChars="0" w:hanging="420" w:firstLineChars="0"/>
        <w:rPr>
          <w:rFonts w:hint="eastAsia" w:eastAsia="宋体"/>
          <w:lang w:val="en-US" w:eastAsia="zh-CN"/>
        </w:rPr>
      </w:pPr>
      <w:r>
        <w:rPr>
          <w:rFonts w:hint="eastAsia"/>
          <w:i/>
          <w:iCs/>
          <w:color w:val="auto"/>
          <w:lang w:val="en-US" w:eastAsia="zh-CN"/>
        </w:rPr>
        <w:t xml:space="preserve">Consider to reuse the repetition bundle defined for inter-slot FH for DMRS optimization. </w:t>
      </w:r>
    </w:p>
    <w:p>
      <w:pPr>
        <w:pStyle w:val="2"/>
        <w:rPr>
          <w:lang w:eastAsia="zh-CN"/>
        </w:rPr>
      </w:pPr>
      <w:r>
        <w:rPr>
          <w:rFonts w:hint="eastAsia"/>
          <w:lang w:eastAsia="zh-CN"/>
        </w:rPr>
        <w:t>R</w:t>
      </w:r>
      <w:r>
        <w:rPr>
          <w:lang w:eastAsia="zh-CN"/>
        </w:rPr>
        <w:t>eference</w:t>
      </w:r>
    </w:p>
    <w:p>
      <w:pPr>
        <w:pStyle w:val="126"/>
        <w:rPr>
          <w:lang w:eastAsia="zh-CN"/>
        </w:rPr>
      </w:pPr>
      <w:bookmarkStart w:id="3" w:name="_Ref525119031"/>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104-</w:t>
      </w:r>
      <w:r>
        <w:rPr>
          <w:rFonts w:hint="default" w:ascii="Times New Roman" w:hAnsi="Times New Roman" w:cs="Times New Roman"/>
          <w:sz w:val="20"/>
          <w:szCs w:val="15"/>
          <w:highlight w:val="none"/>
          <w:lang w:val="en-US" w:eastAsia="zh-CN"/>
        </w:rPr>
        <w:t>e,</w:t>
      </w:r>
      <w:r>
        <w:rPr>
          <w:rFonts w:hint="eastAsia" w:ascii="Times New Roman" w:hAnsi="Times New Roman" w:cs="Times New Roman"/>
          <w:sz w:val="20"/>
          <w:szCs w:val="15"/>
          <w:highlight w:val="none"/>
          <w:lang w:val="en-US" w:eastAsia="zh-CN"/>
        </w:rPr>
        <w:t xml:space="preserve"> Chairman</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s note. </w:t>
      </w:r>
    </w:p>
    <w:p>
      <w:pPr>
        <w:pStyle w:val="126"/>
        <w:rPr>
          <w:lang w:eastAsia="zh-CN"/>
        </w:rPr>
      </w:pPr>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104-</w:t>
      </w:r>
      <w:r>
        <w:rPr>
          <w:rFonts w:hint="default" w:ascii="Times New Roman" w:hAnsi="Times New Roman" w:cs="Times New Roman"/>
          <w:sz w:val="20"/>
          <w:szCs w:val="15"/>
          <w:highlight w:val="none"/>
          <w:lang w:val="en-US" w:eastAsia="zh-CN"/>
        </w:rPr>
        <w:t xml:space="preserve">e, </w:t>
      </w:r>
      <w:bookmarkEnd w:id="3"/>
      <w:r>
        <w:rPr>
          <w:rFonts w:hint="default" w:ascii="Times New Roman" w:hAnsi="Times New Roman" w:cs="Times New Roman"/>
          <w:sz w:val="20"/>
          <w:szCs w:val="15"/>
          <w:highlight w:val="none"/>
          <w:lang w:eastAsia="zh-CN"/>
        </w:rPr>
        <w:fldChar w:fldCharType="begin"/>
      </w:r>
      <w:r>
        <w:rPr>
          <w:rFonts w:hint="default" w:ascii="Times New Roman" w:hAnsi="Times New Roman" w:cs="Times New Roman"/>
          <w:sz w:val="20"/>
          <w:szCs w:val="15"/>
          <w:highlight w:val="none"/>
          <w:lang w:eastAsia="zh-CN"/>
        </w:rPr>
        <w:instrText xml:space="preserve"> HYPERLINK "C:\\Users\\wanshic\\OneDrive - Qualcomm\\Documents\\Standards\\3GPP Standards\\Meeting Documents\\TSGR1_104\\Docs\\R1-2102161.zip" </w:instrText>
      </w:r>
      <w:r>
        <w:rPr>
          <w:rFonts w:hint="default" w:ascii="Times New Roman" w:hAnsi="Times New Roman" w:cs="Times New Roman"/>
          <w:sz w:val="20"/>
          <w:szCs w:val="15"/>
          <w:highlight w:val="none"/>
          <w:lang w:eastAsia="zh-CN"/>
        </w:rPr>
        <w:fldChar w:fldCharType="separate"/>
      </w:r>
      <w:r>
        <w:rPr>
          <w:rFonts w:hint="default" w:ascii="Times New Roman" w:hAnsi="Times New Roman" w:cs="Times New Roman"/>
          <w:sz w:val="20"/>
          <w:szCs w:val="15"/>
          <w:highlight w:val="none"/>
          <w:lang w:eastAsia="zh-CN"/>
        </w:rPr>
        <w:t>R1-2102161</w:t>
      </w:r>
      <w:r>
        <w:rPr>
          <w:rFonts w:hint="default" w:ascii="Times New Roman" w:hAnsi="Times New Roman" w:cs="Times New Roman"/>
          <w:sz w:val="20"/>
          <w:szCs w:val="15"/>
          <w:highlight w:val="none"/>
          <w:lang w:eastAsia="zh-CN"/>
        </w:rPr>
        <w:fldChar w:fldCharType="end"/>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eastAsia="zh-CN"/>
        </w:rPr>
        <w:t>[104-e-NR-CovEnh-03] Summary of email discussion on joint channel estimation for PUSCH</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eastAsia="zh-CN"/>
        </w:rPr>
        <w:t>Moderator (</w:t>
      </w:r>
      <w:r>
        <w:rPr>
          <w:rFonts w:hint="eastAsia" w:ascii="Times New Roman" w:hAnsi="Times New Roman" w:cs="Times New Roman"/>
          <w:sz w:val="20"/>
          <w:szCs w:val="15"/>
          <w:highlight w:val="none"/>
          <w:lang w:eastAsia="zh-CN"/>
        </w:rPr>
        <w:t>China Telecom</w:t>
      </w:r>
      <w:r>
        <w:rPr>
          <w:rFonts w:hint="default" w:ascii="Times New Roman" w:hAnsi="Times New Roman" w:cs="Times New Roman"/>
          <w:sz w:val="20"/>
          <w:szCs w:val="15"/>
          <w:highlight w:val="none"/>
          <w:lang w:eastAsia="zh-CN"/>
        </w:rPr>
        <w:t>)</w:t>
      </w:r>
      <w:r>
        <w:rPr>
          <w:rFonts w:hint="eastAsia" w:cs="Times New Roman"/>
          <w:sz w:val="20"/>
          <w:szCs w:val="15"/>
          <w:highlight w:val="none"/>
          <w:lang w:val="en-US" w:eastAsia="zh-CN"/>
        </w:rPr>
        <w:t>.</w:t>
      </w:r>
      <w:r>
        <w:rPr>
          <w:rFonts w:hint="default" w:ascii="Times New Roman" w:hAnsi="Times New Roman" w:cs="Times New Roman"/>
          <w:sz w:val="20"/>
          <w:szCs w:val="15"/>
          <w:highlight w:val="none"/>
          <w:lang w:eastAsia="zh-CN"/>
        </w:rPr>
        <w:tab/>
      </w:r>
    </w:p>
    <w:p>
      <w:pPr>
        <w:pStyle w:val="126"/>
        <w:rPr>
          <w:szCs w:val="22"/>
          <w:lang w:val="en-US" w:eastAsia="zh-CN"/>
        </w:rPr>
      </w:pPr>
      <w:r>
        <w:rPr>
          <w:rFonts w:hint="default" w:ascii="Times New Roman" w:hAnsi="Times New Roman" w:cs="Times New Roman"/>
          <w:sz w:val="20"/>
          <w:szCs w:val="15"/>
          <w:highlight w:val="none"/>
          <w:lang w:eastAsia="zh-CN"/>
        </w:rPr>
        <w:t>3GPP RAN</w:t>
      </w:r>
      <w:r>
        <w:rPr>
          <w:rFonts w:hint="eastAsia" w:cs="Times New Roman"/>
          <w:sz w:val="20"/>
          <w:szCs w:val="15"/>
          <w:highlight w:val="none"/>
          <w:lang w:val="en-US" w:eastAsia="zh-CN"/>
        </w:rPr>
        <w:t>4</w:t>
      </w:r>
      <w:r>
        <w:rPr>
          <w:rFonts w:hint="default" w:ascii="Times New Roman" w:hAnsi="Times New Roman" w:cs="Times New Roman"/>
          <w:sz w:val="20"/>
          <w:szCs w:val="15"/>
          <w:highlight w:val="none"/>
          <w:lang w:eastAsia="zh-CN"/>
        </w:rPr>
        <w:t>#</w:t>
      </w:r>
      <w:r>
        <w:rPr>
          <w:rFonts w:hint="eastAsia" w:cs="Times New Roman"/>
          <w:sz w:val="20"/>
          <w:szCs w:val="15"/>
          <w:highlight w:val="none"/>
          <w:lang w:val="en-US" w:eastAsia="zh-CN"/>
        </w:rPr>
        <w:t>98</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e</w:t>
      </w:r>
      <w:r>
        <w:rPr>
          <w:rFonts w:hint="eastAsia" w:ascii="Times New Roman" w:hAnsi="Times New Roman" w:cs="Times New Roman"/>
          <w:sz w:val="20"/>
          <w:szCs w:val="15"/>
          <w:highlight w:val="none"/>
          <w:lang w:val="en-US" w:eastAsia="zh-CN"/>
        </w:rPr>
        <w:t>,</w:t>
      </w:r>
      <w:r>
        <w:rPr>
          <w:rFonts w:hint="eastAsia" w:cs="Times New Roman"/>
          <w:sz w:val="20"/>
          <w:szCs w:val="15"/>
          <w:highlight w:val="none"/>
          <w:lang w:val="en-US" w:eastAsia="zh-CN"/>
        </w:rPr>
        <w:t xml:space="preserve"> </w:t>
      </w:r>
      <w:r>
        <w:rPr>
          <w:rFonts w:hint="eastAsia"/>
          <w:szCs w:val="22"/>
          <w:lang w:val="en-US" w:eastAsia="zh-CN"/>
        </w:rPr>
        <w:t xml:space="preserve">R4-2103393, </w:t>
      </w:r>
      <w:r>
        <w:rPr>
          <w:rFonts w:hint="default"/>
          <w:szCs w:val="22"/>
          <w:lang w:val="en-US" w:eastAsia="zh-CN"/>
        </w:rPr>
        <w:t>“</w:t>
      </w:r>
      <w:r>
        <w:rPr>
          <w:rFonts w:hint="default" w:ascii="Times New Roman" w:hAnsi="Times New Roman" w:cs="Times New Roman"/>
          <w:szCs w:val="22"/>
          <w:lang w:val="en-US" w:eastAsia="zh-CN"/>
        </w:rPr>
        <w:t>Reply on LS on PUCCH and PUSCH repetition’’</w:t>
      </w:r>
      <w:r>
        <w:rPr>
          <w:rFonts w:hint="eastAsia" w:ascii="Times New Roman" w:hAnsi="Times New Roman" w:cs="Times New Roman"/>
          <w:szCs w:val="22"/>
          <w:lang w:val="en-US" w:eastAsia="zh-CN"/>
        </w:rPr>
        <w:t>.</w:t>
      </w:r>
    </w:p>
    <w:p>
      <w:pPr>
        <w:pStyle w:val="2"/>
        <w:numPr>
          <w:ilvl w:val="0"/>
          <w:numId w:val="0"/>
        </w:numPr>
        <w:rPr>
          <w:szCs w:val="22"/>
          <w:lang w:val="en-US" w:eastAsia="zh-CN"/>
        </w:rPr>
      </w:pPr>
      <w:r>
        <w:rPr>
          <w:szCs w:val="22"/>
          <w:lang w:val="en-US" w:eastAsia="zh-CN"/>
        </w:rPr>
        <w:t>Appendix</w:t>
      </w: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1</w:t>
      </w:r>
      <w:r>
        <w:rPr>
          <w:szCs w:val="20"/>
          <w:lang w:eastAsia="zh-CN"/>
        </w:rPr>
        <w:t xml:space="preserve"> Simulation assumption for </w:t>
      </w:r>
      <w:r>
        <w:rPr>
          <w:rFonts w:hint="eastAsia"/>
          <w:lang w:val="en-US" w:eastAsia="zh-CN"/>
        </w:rPr>
        <w:t>inter-slot FH bundling for cross-slot channel estimatio</w:t>
      </w:r>
      <w:r>
        <w:rPr>
          <w:rFonts w:hint="eastAsia"/>
          <w:szCs w:val="20"/>
          <w:lang w:val="en-US" w:eastAsia="zh-CN"/>
        </w:rPr>
        <w:t>n</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700MHz</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TDL-C (delay spread: 300ns) as in 38.901 for </w:t>
            </w:r>
            <w:r>
              <w:rPr>
                <w:rFonts w:hint="eastAsia" w:ascii="Times New Roman" w:hAnsi="Times New Roman" w:cs="Times New Roman"/>
                <w:color w:val="000000"/>
                <w:sz w:val="20"/>
                <w:szCs w:val="20"/>
                <w:lang w:val="en-US" w:eastAsia="zh-CN"/>
              </w:rPr>
              <w:t>R</w:t>
            </w:r>
            <w:r>
              <w:rPr>
                <w:rFonts w:hint="eastAsia" w:ascii="Times New Roman" w:hAnsi="Times New Roman" w:eastAsia="宋体" w:cs="Times New Roman"/>
                <w:color w:val="000000"/>
                <w:sz w:val="20"/>
                <w:szCs w:val="20"/>
                <w:lang w:val="en-US" w:eastAsia="zh-CN"/>
              </w:rPr>
              <w:t>ural scenario</w:t>
            </w:r>
          </w:p>
        </w:tc>
      </w:tr>
      <w:tr>
        <w:tblPrEx>
          <w:shd w:val="clear" w:color="auto" w:fill="auto"/>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eastAsia" w:ascii="Times New Roman" w:hAnsi="Times New Roman" w:cs="Times New Roman"/>
                <w:color w:val="000000"/>
                <w:sz w:val="20"/>
                <w:szCs w:val="20"/>
                <w:lang w:val="en-US" w:eastAsia="zh-CN"/>
              </w:rPr>
              <w:t xml:space="preserve"> </w:t>
            </w:r>
          </w:p>
        </w:tc>
      </w:tr>
      <w:tr>
        <w:tblPrEx>
          <w:shd w:val="clear" w:color="auto" w:fill="auto"/>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4</w:t>
            </w:r>
            <w:r>
              <w:rPr>
                <w:rFonts w:hint="default" w:ascii="Times New Roman" w:hAnsi="Times New Roman" w:cs="Times New Roman"/>
                <w:color w:val="000000"/>
                <w:sz w:val="20"/>
                <w:szCs w:val="20"/>
              </w:rPr>
              <w:t> Rx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20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15kHz </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4</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0</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2</w:t>
            </w:r>
            <w:r>
              <w:rPr>
                <w:rFonts w:hint="default" w:ascii="Times New Roman" w:hAnsi="Times New Roman" w:cs="Times New Roman"/>
                <w:color w:val="000000"/>
                <w:sz w:val="20"/>
                <w:szCs w:val="20"/>
              </w:rPr>
              <w:t> DMRS symbol</w:t>
            </w:r>
            <w:r>
              <w:rPr>
                <w:rFonts w:hint="eastAsia" w:ascii="Times New Roman" w:hAnsi="Times New Roman" w:cs="Times New Roman"/>
                <w:color w:val="000000"/>
                <w:sz w:val="20"/>
                <w:szCs w:val="20"/>
                <w:lang w:val="en-US" w:eastAsia="zh-CN"/>
              </w:rPr>
              <w:t>s</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 xml:space="preserve">8 </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Enabled </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MMSE</w:t>
            </w:r>
          </w:p>
        </w:tc>
      </w:tr>
      <w:tr>
        <w:tblPrEx>
          <w:shd w:val="clear" w:color="auto" w:fill="auto"/>
          <w:tblCellMar>
            <w:top w:w="0" w:type="dxa"/>
            <w:left w:w="0" w:type="dxa"/>
            <w:bottom w:w="0" w:type="dxa"/>
            <w:right w:w="0" w:type="dxa"/>
          </w:tblCellMar>
        </w:tblPrEx>
        <w:trPr>
          <w:trHeight w:val="346"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Hopping RB offset</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sz w:val="20"/>
                <w:szCs w:val="20"/>
                <w:lang w:val="en-US" w:eastAsia="zh-CN"/>
              </w:rPr>
              <w:t>50RBs offset for inter-slot hopping</w:t>
            </w:r>
          </w:p>
        </w:tc>
      </w:tr>
    </w:tbl>
    <w:p>
      <w:pPr>
        <w:rPr>
          <w:szCs w:val="22"/>
          <w:lang w:val="en-US" w:eastAsia="zh-CN"/>
        </w:rPr>
      </w:pP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2</w:t>
      </w:r>
      <w:r>
        <w:rPr>
          <w:szCs w:val="20"/>
          <w:lang w:eastAsia="zh-CN"/>
        </w:rPr>
        <w:t xml:space="preserve"> Simulation assumption for </w:t>
      </w:r>
      <w:r>
        <w:rPr>
          <w:rFonts w:hint="eastAsia"/>
          <w:highlight w:val="none"/>
          <w:lang w:val="en-US" w:eastAsia="zh-CN"/>
        </w:rPr>
        <w:t xml:space="preserve">different </w:t>
      </w:r>
      <w:r>
        <w:rPr>
          <w:rFonts w:hint="eastAsia" w:ascii="Times New Roman" w:hAnsi="Times New Roman" w:cs="Times New Roman"/>
          <w:color w:val="auto"/>
          <w:lang w:val="en-US" w:eastAsia="zh-CN"/>
        </w:rPr>
        <w:t>DMRS patterns</w:t>
      </w:r>
      <w:r>
        <w:rPr>
          <w:rFonts w:hint="eastAsia"/>
          <w:highlight w:val="none"/>
          <w:lang w:val="en-US" w:eastAsia="zh-CN"/>
        </w:rPr>
        <w:t xml:space="preserve"> in the time domain</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700M</w:t>
            </w:r>
            <w:r>
              <w:rPr>
                <w:rFonts w:hint="eastAsia" w:ascii="Times New Roman" w:hAnsi="Times New Roman" w:cs="Times New Roman"/>
                <w:color w:val="000000"/>
                <w:sz w:val="20"/>
                <w:szCs w:val="20"/>
                <w:lang w:val="en-US" w:eastAsia="zh-CN"/>
              </w:rPr>
              <w:t>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TDL-C (delay spread: 300ns) as in 38.901 for </w:t>
            </w:r>
            <w:r>
              <w:rPr>
                <w:rFonts w:hint="eastAsia" w:ascii="Times New Roman" w:hAnsi="Times New Roman" w:cs="Times New Roman"/>
                <w:color w:val="000000"/>
                <w:sz w:val="20"/>
                <w:szCs w:val="20"/>
                <w:lang w:val="en-US" w:eastAsia="zh-CN"/>
              </w:rPr>
              <w:t>R</w:t>
            </w:r>
            <w:r>
              <w:rPr>
                <w:rFonts w:hint="eastAsia" w:ascii="Times New Roman" w:hAnsi="Times New Roman" w:eastAsia="宋体" w:cs="Times New Roman"/>
                <w:color w:val="000000"/>
                <w:sz w:val="20"/>
                <w:szCs w:val="20"/>
                <w:lang w:val="en-US" w:eastAsia="zh-CN"/>
              </w:rPr>
              <w:t>ural scenario</w:t>
            </w:r>
          </w:p>
        </w:tc>
      </w:tr>
      <w:tr>
        <w:tblPrEx>
          <w:shd w:val="clear" w:color="auto" w:fill="auto"/>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eastAsia" w:ascii="Times New Roman" w:hAnsi="Times New Roman" w:cs="Times New Roman"/>
                <w:color w:val="000000"/>
                <w:sz w:val="20"/>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4</w:t>
            </w:r>
            <w:r>
              <w:rPr>
                <w:rFonts w:hint="default" w:ascii="Times New Roman" w:hAnsi="Times New Roman" w:cs="Times New Roman"/>
                <w:color w:val="000000"/>
                <w:sz w:val="20"/>
                <w:szCs w:val="20"/>
              </w:rPr>
              <w:t>Rx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20</w:t>
            </w:r>
            <w:r>
              <w:rPr>
                <w:rFonts w:hint="default" w:ascii="Times New Roman" w:hAnsi="Times New Roman" w:cs="Times New Roman"/>
                <w:color w:val="000000"/>
                <w:sz w:val="20"/>
                <w:szCs w:val="20"/>
              </w:rPr>
              <w:t>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 xml:space="preserve">15 </w:t>
            </w:r>
            <w:r>
              <w:rPr>
                <w:rFonts w:hint="default" w:ascii="Times New Roman" w:hAnsi="Times New Roman" w:cs="Times New Roman"/>
                <w:color w:val="000000"/>
                <w:sz w:val="20"/>
                <w:szCs w:val="20"/>
              </w:rPr>
              <w:t>kHz </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cs="Times New Roman"/>
                <w:color w:val="000000"/>
                <w:sz w:val="20"/>
                <w:szCs w:val="20"/>
                <w:lang w:val="en-US" w:eastAsia="zh-CN"/>
              </w:rPr>
              <w:t>4</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cs="Times New Roman"/>
                <w:color w:val="000000"/>
                <w:sz w:val="20"/>
                <w:szCs w:val="20"/>
                <w:lang w:val="en-US" w:eastAsia="zh-CN"/>
              </w:rPr>
              <w:t>0/1</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1/</w:t>
            </w:r>
            <w:r>
              <w:rPr>
                <w:rFonts w:hint="eastAsia" w:ascii="Times New Roman" w:hAnsi="Times New Roman" w:cs="Times New Roman"/>
                <w:color w:val="000000"/>
                <w:sz w:val="20"/>
                <w:szCs w:val="20"/>
                <w:lang w:val="en-US" w:eastAsia="zh-CN"/>
              </w:rPr>
              <w:t>2</w:t>
            </w:r>
            <w:r>
              <w:rPr>
                <w:rFonts w:hint="default" w:ascii="Times New Roman" w:hAnsi="Times New Roman" w:cs="Times New Roman"/>
                <w:color w:val="000000"/>
                <w:sz w:val="20"/>
                <w:szCs w:val="20"/>
              </w:rPr>
              <w:t> DMRS symbol</w:t>
            </w:r>
            <w:r>
              <w:rPr>
                <w:rFonts w:hint="eastAsia" w:ascii="Times New Roman" w:hAnsi="Times New Roman" w:cs="Times New Roman"/>
                <w:color w:val="000000"/>
                <w:sz w:val="20"/>
                <w:szCs w:val="20"/>
                <w:lang w:val="en-US" w:eastAsia="zh-CN"/>
              </w:rPr>
              <w:t>s</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 xml:space="preserve">8 </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Enabled </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MMSE</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Frequency offset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Uniform distribution with [-0.1, +0.1] ppm, and one FO is generated for each PUSCH repetition.</w:t>
            </w:r>
          </w:p>
        </w:tc>
      </w:tr>
    </w:tbl>
    <w:p>
      <w:pPr>
        <w:rPr>
          <w:szCs w:val="22"/>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96E7A7"/>
    <w:multiLevelType w:val="singleLevel"/>
    <w:tmpl w:val="B396E7A7"/>
    <w:lvl w:ilvl="0" w:tentative="0">
      <w:start w:val="1"/>
      <w:numFmt w:val="bullet"/>
      <w:lvlText w:val=""/>
      <w:lvlJc w:val="left"/>
      <w:pPr>
        <w:tabs>
          <w:tab w:val="left" w:pos="420"/>
        </w:tabs>
        <w:ind w:left="840" w:hanging="420"/>
      </w:pPr>
      <w:rPr>
        <w:rFonts w:hint="default" w:ascii="Wingdings" w:hAnsi="Wingdings"/>
      </w:rPr>
    </w:lvl>
  </w:abstractNum>
  <w:abstractNum w:abstractNumId="1">
    <w:nsid w:val="D812E99F"/>
    <w:multiLevelType w:val="singleLevel"/>
    <w:tmpl w:val="D812E99F"/>
    <w:lvl w:ilvl="0" w:tentative="0">
      <w:start w:val="1"/>
      <w:numFmt w:val="bullet"/>
      <w:lvlText w:val=""/>
      <w:lvlJc w:val="left"/>
      <w:pPr>
        <w:tabs>
          <w:tab w:val="left" w:pos="420"/>
        </w:tabs>
        <w:ind w:left="840" w:hanging="420"/>
      </w:pPr>
      <w:rPr>
        <w:rFonts w:hint="default" w:ascii="Wingdings" w:hAnsi="Wingdings"/>
      </w:rPr>
    </w:lvl>
  </w:abstractNum>
  <w:abstractNum w:abstractNumId="2">
    <w:nsid w:val="EE034ED5"/>
    <w:multiLevelType w:val="singleLevel"/>
    <w:tmpl w:val="EE034ED5"/>
    <w:lvl w:ilvl="0" w:tentative="0">
      <w:start w:val="1"/>
      <w:numFmt w:val="bullet"/>
      <w:lvlText w:val=""/>
      <w:lvlJc w:val="left"/>
      <w:pPr>
        <w:tabs>
          <w:tab w:val="left" w:pos="420"/>
        </w:tabs>
        <w:ind w:left="840" w:hanging="420"/>
      </w:pPr>
      <w:rPr>
        <w:rFonts w:hint="default" w:ascii="Wingdings" w:hAnsi="Wingdings"/>
      </w:rPr>
    </w:lvl>
  </w:abstractNum>
  <w:abstractNum w:abstractNumId="3">
    <w:nsid w:val="0761A6EF"/>
    <w:multiLevelType w:val="singleLevel"/>
    <w:tmpl w:val="0761A6EF"/>
    <w:lvl w:ilvl="0" w:tentative="0">
      <w:start w:val="1"/>
      <w:numFmt w:val="bullet"/>
      <w:lvlText w:val=""/>
      <w:lvlJc w:val="left"/>
      <w:pPr>
        <w:ind w:left="420" w:hanging="420"/>
      </w:pPr>
      <w:rPr>
        <w:rFonts w:hint="default" w:ascii="Wingdings" w:hAnsi="Wingdings"/>
      </w:rPr>
    </w:lvl>
  </w:abstractNum>
  <w:abstractNum w:abstractNumId="4">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0BB71A10"/>
    <w:multiLevelType w:val="multilevel"/>
    <w:tmpl w:val="0BB71A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D67560A"/>
    <w:multiLevelType w:val="multilevel"/>
    <w:tmpl w:val="0D67560A"/>
    <w:lvl w:ilvl="0" w:tentative="0">
      <w:start w:val="1"/>
      <w:numFmt w:val="decimalZero"/>
      <w:pStyle w:val="152"/>
      <w:lvlText w:val="[00%1]"/>
      <w:lvlJc w:val="left"/>
      <w:pPr>
        <w:tabs>
          <w:tab w:val="left" w:pos="1080"/>
        </w:tabs>
        <w:ind w:left="0" w:firstLine="0"/>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10460B51"/>
    <w:multiLevelType w:val="multilevel"/>
    <w:tmpl w:val="10460B51"/>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8">
    <w:nsid w:val="14511A7B"/>
    <w:multiLevelType w:val="multilevel"/>
    <w:tmpl w:val="14511A7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2862723A"/>
    <w:multiLevelType w:val="multilevel"/>
    <w:tmpl w:val="2862723A"/>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11">
    <w:nsid w:val="2EDD55D4"/>
    <w:multiLevelType w:val="singleLevel"/>
    <w:tmpl w:val="2EDD55D4"/>
    <w:lvl w:ilvl="0" w:tentative="0">
      <w:start w:val="1"/>
      <w:numFmt w:val="bullet"/>
      <w:lvlText w:val=""/>
      <w:lvlJc w:val="left"/>
      <w:pPr>
        <w:tabs>
          <w:tab w:val="left" w:pos="420"/>
        </w:tabs>
        <w:ind w:left="840" w:hanging="420"/>
      </w:pPr>
      <w:rPr>
        <w:rFonts w:hint="default" w:ascii="Wingdings" w:hAnsi="Wingdings"/>
      </w:rPr>
    </w:lvl>
  </w:abstractNum>
  <w:abstractNum w:abstractNumId="1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8943DD7"/>
    <w:multiLevelType w:val="multilevel"/>
    <w:tmpl w:val="38943DD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38F55D22"/>
    <w:multiLevelType w:val="multilevel"/>
    <w:tmpl w:val="38F55D2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392F78B8"/>
    <w:multiLevelType w:val="multilevel"/>
    <w:tmpl w:val="392F78B8"/>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7">
    <w:nsid w:val="3FBD6528"/>
    <w:multiLevelType w:val="multilevel"/>
    <w:tmpl w:val="3FBD652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498C34D3"/>
    <w:multiLevelType w:val="multilevel"/>
    <w:tmpl w:val="498C34D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49D542E2"/>
    <w:multiLevelType w:val="multilevel"/>
    <w:tmpl w:val="49D542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29F2C38"/>
    <w:multiLevelType w:val="multilevel"/>
    <w:tmpl w:val="629F2C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10"/>
  </w:num>
  <w:num w:numId="3">
    <w:abstractNumId w:val="22"/>
  </w:num>
  <w:num w:numId="4">
    <w:abstractNumId w:val="16"/>
  </w:num>
  <w:num w:numId="5">
    <w:abstractNumId w:val="24"/>
  </w:num>
  <w:num w:numId="6">
    <w:abstractNumId w:val="20"/>
  </w:num>
  <w:num w:numId="7">
    <w:abstractNumId w:val="12"/>
  </w:num>
  <w:num w:numId="8">
    <w:abstractNumId w:val="23"/>
  </w:num>
  <w:num w:numId="9">
    <w:abstractNumId w:val="6"/>
  </w:num>
  <w:num w:numId="10">
    <w:abstractNumId w:val="13"/>
  </w:num>
  <w:num w:numId="11">
    <w:abstractNumId w:val="8"/>
  </w:num>
  <w:num w:numId="12">
    <w:abstractNumId w:val="14"/>
  </w:num>
  <w:num w:numId="13">
    <w:abstractNumId w:val="18"/>
  </w:num>
  <w:num w:numId="14">
    <w:abstractNumId w:val="15"/>
  </w:num>
  <w:num w:numId="15">
    <w:abstractNumId w:val="17"/>
  </w:num>
  <w:num w:numId="16">
    <w:abstractNumId w:val="21"/>
  </w:num>
  <w:num w:numId="17">
    <w:abstractNumId w:val="19"/>
  </w:num>
  <w:num w:numId="18">
    <w:abstractNumId w:val="5"/>
  </w:num>
  <w:num w:numId="19">
    <w:abstractNumId w:val="9"/>
  </w:num>
  <w:num w:numId="20">
    <w:abstractNumId w:val="3"/>
  </w:num>
  <w:num w:numId="21">
    <w:abstractNumId w:val="7"/>
  </w:num>
  <w:num w:numId="22">
    <w:abstractNumId w:val="1"/>
  </w:num>
  <w:num w:numId="23">
    <w:abstractNumId w:val="2"/>
  </w:num>
  <w:num w:numId="24">
    <w:abstractNumId w:val="1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445"/>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4E7"/>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B81"/>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261"/>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1DB"/>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74F"/>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675"/>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3E1E"/>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41CA2"/>
    <w:rsid w:val="012227BC"/>
    <w:rsid w:val="012361AD"/>
    <w:rsid w:val="013E6BC5"/>
    <w:rsid w:val="013F7A03"/>
    <w:rsid w:val="016402CE"/>
    <w:rsid w:val="01C37AF8"/>
    <w:rsid w:val="01C43939"/>
    <w:rsid w:val="01EB3A92"/>
    <w:rsid w:val="02132759"/>
    <w:rsid w:val="0222444D"/>
    <w:rsid w:val="025A5203"/>
    <w:rsid w:val="02627A10"/>
    <w:rsid w:val="026A6ED2"/>
    <w:rsid w:val="02737E73"/>
    <w:rsid w:val="02811D65"/>
    <w:rsid w:val="0284643E"/>
    <w:rsid w:val="02CB1826"/>
    <w:rsid w:val="02E51F96"/>
    <w:rsid w:val="03015D7F"/>
    <w:rsid w:val="03023110"/>
    <w:rsid w:val="03532C3F"/>
    <w:rsid w:val="035E745C"/>
    <w:rsid w:val="035F79EB"/>
    <w:rsid w:val="036A2B26"/>
    <w:rsid w:val="036D6407"/>
    <w:rsid w:val="03B25C4C"/>
    <w:rsid w:val="03D12146"/>
    <w:rsid w:val="03D24EAD"/>
    <w:rsid w:val="03F94E83"/>
    <w:rsid w:val="03FC4856"/>
    <w:rsid w:val="041C778B"/>
    <w:rsid w:val="04345173"/>
    <w:rsid w:val="04577F93"/>
    <w:rsid w:val="04706353"/>
    <w:rsid w:val="047E59D0"/>
    <w:rsid w:val="048B7799"/>
    <w:rsid w:val="048F11FF"/>
    <w:rsid w:val="04B72387"/>
    <w:rsid w:val="04C94658"/>
    <w:rsid w:val="04D5788B"/>
    <w:rsid w:val="050D4324"/>
    <w:rsid w:val="054D750F"/>
    <w:rsid w:val="06045E70"/>
    <w:rsid w:val="060A4922"/>
    <w:rsid w:val="06360315"/>
    <w:rsid w:val="06677692"/>
    <w:rsid w:val="066F4060"/>
    <w:rsid w:val="067D4C1C"/>
    <w:rsid w:val="069A1D58"/>
    <w:rsid w:val="06B127E5"/>
    <w:rsid w:val="06D837B6"/>
    <w:rsid w:val="0705530E"/>
    <w:rsid w:val="07067712"/>
    <w:rsid w:val="070E2577"/>
    <w:rsid w:val="072B6B98"/>
    <w:rsid w:val="072F2729"/>
    <w:rsid w:val="07722C34"/>
    <w:rsid w:val="077E7782"/>
    <w:rsid w:val="078903C0"/>
    <w:rsid w:val="078F6F15"/>
    <w:rsid w:val="07A9580A"/>
    <w:rsid w:val="07B35775"/>
    <w:rsid w:val="07C21FA9"/>
    <w:rsid w:val="07D06D7A"/>
    <w:rsid w:val="07DD5AB3"/>
    <w:rsid w:val="0811778C"/>
    <w:rsid w:val="08166EC2"/>
    <w:rsid w:val="082E2D58"/>
    <w:rsid w:val="08476CF8"/>
    <w:rsid w:val="08763D35"/>
    <w:rsid w:val="08891F5A"/>
    <w:rsid w:val="088D57DF"/>
    <w:rsid w:val="08A871B9"/>
    <w:rsid w:val="092A0C39"/>
    <w:rsid w:val="0957797D"/>
    <w:rsid w:val="096B6A5A"/>
    <w:rsid w:val="096E57BA"/>
    <w:rsid w:val="0972706B"/>
    <w:rsid w:val="09860267"/>
    <w:rsid w:val="098678CD"/>
    <w:rsid w:val="09A342F4"/>
    <w:rsid w:val="09AB11E8"/>
    <w:rsid w:val="09C21BB6"/>
    <w:rsid w:val="0A046E11"/>
    <w:rsid w:val="0AFC60B7"/>
    <w:rsid w:val="0B6F6E61"/>
    <w:rsid w:val="0B820D65"/>
    <w:rsid w:val="0BAD56E4"/>
    <w:rsid w:val="0BAD7041"/>
    <w:rsid w:val="0C00413A"/>
    <w:rsid w:val="0C137799"/>
    <w:rsid w:val="0C1551CE"/>
    <w:rsid w:val="0C1B4F3E"/>
    <w:rsid w:val="0C56233F"/>
    <w:rsid w:val="0C654E67"/>
    <w:rsid w:val="0C6F5654"/>
    <w:rsid w:val="0CB77457"/>
    <w:rsid w:val="0CDE5204"/>
    <w:rsid w:val="0CE24B83"/>
    <w:rsid w:val="0CE37C3D"/>
    <w:rsid w:val="0CE50ED4"/>
    <w:rsid w:val="0D132BA9"/>
    <w:rsid w:val="0D660AC2"/>
    <w:rsid w:val="0D672BF6"/>
    <w:rsid w:val="0DC10615"/>
    <w:rsid w:val="0DCE068D"/>
    <w:rsid w:val="0DDC43A1"/>
    <w:rsid w:val="0E120AD5"/>
    <w:rsid w:val="0E3754E8"/>
    <w:rsid w:val="0E8829D1"/>
    <w:rsid w:val="0E933444"/>
    <w:rsid w:val="0E9A4B90"/>
    <w:rsid w:val="0EA33BDF"/>
    <w:rsid w:val="0EB06FFE"/>
    <w:rsid w:val="0EDE7F8B"/>
    <w:rsid w:val="0EEC1999"/>
    <w:rsid w:val="0EEE3958"/>
    <w:rsid w:val="0EF57D78"/>
    <w:rsid w:val="0F0A50A1"/>
    <w:rsid w:val="0F1D01AC"/>
    <w:rsid w:val="0F26446A"/>
    <w:rsid w:val="0F2A272E"/>
    <w:rsid w:val="0F50677D"/>
    <w:rsid w:val="0F973CB6"/>
    <w:rsid w:val="0F9C16C6"/>
    <w:rsid w:val="0FB56F6D"/>
    <w:rsid w:val="0FC166A9"/>
    <w:rsid w:val="0FFB1095"/>
    <w:rsid w:val="10150A41"/>
    <w:rsid w:val="101828E5"/>
    <w:rsid w:val="101B366C"/>
    <w:rsid w:val="102D15F4"/>
    <w:rsid w:val="1042638F"/>
    <w:rsid w:val="1051081F"/>
    <w:rsid w:val="10587DFC"/>
    <w:rsid w:val="10A655E0"/>
    <w:rsid w:val="10BE60B3"/>
    <w:rsid w:val="10D80AE3"/>
    <w:rsid w:val="11087971"/>
    <w:rsid w:val="111C11B7"/>
    <w:rsid w:val="11373F4A"/>
    <w:rsid w:val="11653C6F"/>
    <w:rsid w:val="117E25DB"/>
    <w:rsid w:val="11872682"/>
    <w:rsid w:val="11B51939"/>
    <w:rsid w:val="1257267A"/>
    <w:rsid w:val="126307F9"/>
    <w:rsid w:val="12694FD6"/>
    <w:rsid w:val="126E6143"/>
    <w:rsid w:val="12A472D8"/>
    <w:rsid w:val="12B47087"/>
    <w:rsid w:val="12DE4561"/>
    <w:rsid w:val="12E541BB"/>
    <w:rsid w:val="12FE321B"/>
    <w:rsid w:val="130859B8"/>
    <w:rsid w:val="13190935"/>
    <w:rsid w:val="135349F3"/>
    <w:rsid w:val="1380021A"/>
    <w:rsid w:val="13AE124E"/>
    <w:rsid w:val="13B80F55"/>
    <w:rsid w:val="13C224D7"/>
    <w:rsid w:val="13DD66A2"/>
    <w:rsid w:val="14054947"/>
    <w:rsid w:val="14130F08"/>
    <w:rsid w:val="141E5C0D"/>
    <w:rsid w:val="141F2191"/>
    <w:rsid w:val="14251812"/>
    <w:rsid w:val="14380455"/>
    <w:rsid w:val="143C29C7"/>
    <w:rsid w:val="14497411"/>
    <w:rsid w:val="146F482D"/>
    <w:rsid w:val="14970691"/>
    <w:rsid w:val="14A47EC8"/>
    <w:rsid w:val="14B665CE"/>
    <w:rsid w:val="15043BF5"/>
    <w:rsid w:val="15050319"/>
    <w:rsid w:val="151A0845"/>
    <w:rsid w:val="154C13BE"/>
    <w:rsid w:val="1575AEB2"/>
    <w:rsid w:val="1579497C"/>
    <w:rsid w:val="15824EE1"/>
    <w:rsid w:val="15CC20E6"/>
    <w:rsid w:val="15EE136C"/>
    <w:rsid w:val="162915A0"/>
    <w:rsid w:val="162C0344"/>
    <w:rsid w:val="162E3333"/>
    <w:rsid w:val="164F7F6D"/>
    <w:rsid w:val="165D61C4"/>
    <w:rsid w:val="165E068A"/>
    <w:rsid w:val="16932881"/>
    <w:rsid w:val="16A10349"/>
    <w:rsid w:val="16DB48B1"/>
    <w:rsid w:val="16F003E9"/>
    <w:rsid w:val="16F047F2"/>
    <w:rsid w:val="1702D3F2"/>
    <w:rsid w:val="17214315"/>
    <w:rsid w:val="17957399"/>
    <w:rsid w:val="180B054C"/>
    <w:rsid w:val="181B0B92"/>
    <w:rsid w:val="182F35F1"/>
    <w:rsid w:val="18556A1C"/>
    <w:rsid w:val="188D2058"/>
    <w:rsid w:val="18A50FDB"/>
    <w:rsid w:val="18B266E2"/>
    <w:rsid w:val="18BA7603"/>
    <w:rsid w:val="18FD3F86"/>
    <w:rsid w:val="190769D0"/>
    <w:rsid w:val="192000D8"/>
    <w:rsid w:val="192A6225"/>
    <w:rsid w:val="192B740B"/>
    <w:rsid w:val="19481FB4"/>
    <w:rsid w:val="19502875"/>
    <w:rsid w:val="19654572"/>
    <w:rsid w:val="19CF5864"/>
    <w:rsid w:val="19E0017B"/>
    <w:rsid w:val="19FA6F86"/>
    <w:rsid w:val="1A031C05"/>
    <w:rsid w:val="1A1C5725"/>
    <w:rsid w:val="1A2F55A6"/>
    <w:rsid w:val="1A514204"/>
    <w:rsid w:val="1AB87FE6"/>
    <w:rsid w:val="1B2146E0"/>
    <w:rsid w:val="1B2E6DC7"/>
    <w:rsid w:val="1B4E3AF0"/>
    <w:rsid w:val="1B5316CE"/>
    <w:rsid w:val="1B5E59D2"/>
    <w:rsid w:val="1B7022F5"/>
    <w:rsid w:val="1B9F7ADA"/>
    <w:rsid w:val="1BCB1DA4"/>
    <w:rsid w:val="1BCB22F0"/>
    <w:rsid w:val="1BDC2DFC"/>
    <w:rsid w:val="1BFE480A"/>
    <w:rsid w:val="1C2168C5"/>
    <w:rsid w:val="1C520FD9"/>
    <w:rsid w:val="1C766428"/>
    <w:rsid w:val="1C8C1338"/>
    <w:rsid w:val="1C921230"/>
    <w:rsid w:val="1CAA06DA"/>
    <w:rsid w:val="1CB626A2"/>
    <w:rsid w:val="1CC02EEB"/>
    <w:rsid w:val="1CF25833"/>
    <w:rsid w:val="1D1C6668"/>
    <w:rsid w:val="1D2355A7"/>
    <w:rsid w:val="1D465FAC"/>
    <w:rsid w:val="1D833CB2"/>
    <w:rsid w:val="1DD50930"/>
    <w:rsid w:val="1DE7561E"/>
    <w:rsid w:val="1DEC3E76"/>
    <w:rsid w:val="1DF407BB"/>
    <w:rsid w:val="1E081A8B"/>
    <w:rsid w:val="1E0C4688"/>
    <w:rsid w:val="1E1A5C57"/>
    <w:rsid w:val="1E38003B"/>
    <w:rsid w:val="1E9F2838"/>
    <w:rsid w:val="1E9F6EAC"/>
    <w:rsid w:val="1EA12998"/>
    <w:rsid w:val="1EA41854"/>
    <w:rsid w:val="1EB815C1"/>
    <w:rsid w:val="1EBA39CE"/>
    <w:rsid w:val="1EE10D08"/>
    <w:rsid w:val="1F391D93"/>
    <w:rsid w:val="1F4B65CE"/>
    <w:rsid w:val="1F6811F5"/>
    <w:rsid w:val="1F850095"/>
    <w:rsid w:val="1FB91CD0"/>
    <w:rsid w:val="1FCE0CEA"/>
    <w:rsid w:val="1FE41590"/>
    <w:rsid w:val="1FE437B8"/>
    <w:rsid w:val="1FEB5923"/>
    <w:rsid w:val="2013006C"/>
    <w:rsid w:val="20275F86"/>
    <w:rsid w:val="20321F1E"/>
    <w:rsid w:val="20371EBA"/>
    <w:rsid w:val="20444561"/>
    <w:rsid w:val="204559CC"/>
    <w:rsid w:val="2050713D"/>
    <w:rsid w:val="206262A6"/>
    <w:rsid w:val="206F6EF8"/>
    <w:rsid w:val="20910CB1"/>
    <w:rsid w:val="20AA069B"/>
    <w:rsid w:val="20BA2550"/>
    <w:rsid w:val="20CD42FE"/>
    <w:rsid w:val="20E65374"/>
    <w:rsid w:val="21035A99"/>
    <w:rsid w:val="21282288"/>
    <w:rsid w:val="218F7AC9"/>
    <w:rsid w:val="21B15D7D"/>
    <w:rsid w:val="21EC38D8"/>
    <w:rsid w:val="22161566"/>
    <w:rsid w:val="222143B0"/>
    <w:rsid w:val="222575BE"/>
    <w:rsid w:val="2241276D"/>
    <w:rsid w:val="227C2684"/>
    <w:rsid w:val="227C2816"/>
    <w:rsid w:val="22C22FF5"/>
    <w:rsid w:val="22F03980"/>
    <w:rsid w:val="22FE2795"/>
    <w:rsid w:val="231E4B98"/>
    <w:rsid w:val="23237381"/>
    <w:rsid w:val="232B0C4F"/>
    <w:rsid w:val="232D30A1"/>
    <w:rsid w:val="23680C07"/>
    <w:rsid w:val="236959BD"/>
    <w:rsid w:val="237C7CBF"/>
    <w:rsid w:val="238B15F3"/>
    <w:rsid w:val="239E142D"/>
    <w:rsid w:val="23BD1EF4"/>
    <w:rsid w:val="23C657B0"/>
    <w:rsid w:val="23D61A36"/>
    <w:rsid w:val="244B7353"/>
    <w:rsid w:val="245870DE"/>
    <w:rsid w:val="247247A7"/>
    <w:rsid w:val="2473146A"/>
    <w:rsid w:val="24970A67"/>
    <w:rsid w:val="24990B16"/>
    <w:rsid w:val="24D0128B"/>
    <w:rsid w:val="24D21AA8"/>
    <w:rsid w:val="250E5B71"/>
    <w:rsid w:val="2529504F"/>
    <w:rsid w:val="2560279C"/>
    <w:rsid w:val="257A7D01"/>
    <w:rsid w:val="25A0147F"/>
    <w:rsid w:val="26152CC2"/>
    <w:rsid w:val="26166BCB"/>
    <w:rsid w:val="261B156F"/>
    <w:rsid w:val="26230FC6"/>
    <w:rsid w:val="26276462"/>
    <w:rsid w:val="264D17ED"/>
    <w:rsid w:val="266D1D9D"/>
    <w:rsid w:val="267C010D"/>
    <w:rsid w:val="26A53593"/>
    <w:rsid w:val="26AF1303"/>
    <w:rsid w:val="26EC778D"/>
    <w:rsid w:val="26EE7123"/>
    <w:rsid w:val="26F15181"/>
    <w:rsid w:val="26F60EF2"/>
    <w:rsid w:val="271411D6"/>
    <w:rsid w:val="272C1CCE"/>
    <w:rsid w:val="27323917"/>
    <w:rsid w:val="27342BB0"/>
    <w:rsid w:val="274D75F4"/>
    <w:rsid w:val="27847B8F"/>
    <w:rsid w:val="27864A32"/>
    <w:rsid w:val="27C33078"/>
    <w:rsid w:val="27C5366D"/>
    <w:rsid w:val="27CE3285"/>
    <w:rsid w:val="27DD67CA"/>
    <w:rsid w:val="27EF2DBE"/>
    <w:rsid w:val="28621255"/>
    <w:rsid w:val="28690808"/>
    <w:rsid w:val="28B07E55"/>
    <w:rsid w:val="28B54AA2"/>
    <w:rsid w:val="28BC1634"/>
    <w:rsid w:val="28C77C30"/>
    <w:rsid w:val="290D04CF"/>
    <w:rsid w:val="291B6B03"/>
    <w:rsid w:val="294D7F95"/>
    <w:rsid w:val="295A76BB"/>
    <w:rsid w:val="295B3766"/>
    <w:rsid w:val="295E42D9"/>
    <w:rsid w:val="297F342E"/>
    <w:rsid w:val="29AD65C9"/>
    <w:rsid w:val="2A0E7B44"/>
    <w:rsid w:val="2A0F0B23"/>
    <w:rsid w:val="2A0F0C79"/>
    <w:rsid w:val="2A2F123E"/>
    <w:rsid w:val="2A71440E"/>
    <w:rsid w:val="2A893D90"/>
    <w:rsid w:val="2A932738"/>
    <w:rsid w:val="2A9A305C"/>
    <w:rsid w:val="2A9D552B"/>
    <w:rsid w:val="2AC471E3"/>
    <w:rsid w:val="2ACB1712"/>
    <w:rsid w:val="2AF443C4"/>
    <w:rsid w:val="2AFE2B7E"/>
    <w:rsid w:val="2B1A73FE"/>
    <w:rsid w:val="2B26248E"/>
    <w:rsid w:val="2B273813"/>
    <w:rsid w:val="2B2A5602"/>
    <w:rsid w:val="2B3F1C6E"/>
    <w:rsid w:val="2B527EC9"/>
    <w:rsid w:val="2B8B5508"/>
    <w:rsid w:val="2B9D5A0C"/>
    <w:rsid w:val="2BB25377"/>
    <w:rsid w:val="2BDE1872"/>
    <w:rsid w:val="2BDF29BF"/>
    <w:rsid w:val="2BE142ED"/>
    <w:rsid w:val="2C15440D"/>
    <w:rsid w:val="2C174347"/>
    <w:rsid w:val="2CB23183"/>
    <w:rsid w:val="2CC8533D"/>
    <w:rsid w:val="2CF04E98"/>
    <w:rsid w:val="2CFD70CC"/>
    <w:rsid w:val="2D0E0A00"/>
    <w:rsid w:val="2D376513"/>
    <w:rsid w:val="2D3F2C8E"/>
    <w:rsid w:val="2D470923"/>
    <w:rsid w:val="2D4D0E21"/>
    <w:rsid w:val="2D694FE4"/>
    <w:rsid w:val="2D8A6FF6"/>
    <w:rsid w:val="2DC863F1"/>
    <w:rsid w:val="2DD75F85"/>
    <w:rsid w:val="2DFB41DC"/>
    <w:rsid w:val="2E350033"/>
    <w:rsid w:val="2E4827D9"/>
    <w:rsid w:val="2E597C2E"/>
    <w:rsid w:val="2E5F4D48"/>
    <w:rsid w:val="2E6D6806"/>
    <w:rsid w:val="2E7F1DC7"/>
    <w:rsid w:val="2E930D3B"/>
    <w:rsid w:val="2EB72406"/>
    <w:rsid w:val="2ECA7E8A"/>
    <w:rsid w:val="2EE82E21"/>
    <w:rsid w:val="2F2367DE"/>
    <w:rsid w:val="2F2F7CA2"/>
    <w:rsid w:val="2FD27D5B"/>
    <w:rsid w:val="2FDF41BB"/>
    <w:rsid w:val="2FF91044"/>
    <w:rsid w:val="302901BE"/>
    <w:rsid w:val="30497C87"/>
    <w:rsid w:val="304B7C60"/>
    <w:rsid w:val="30540837"/>
    <w:rsid w:val="3055096E"/>
    <w:rsid w:val="306A4FC0"/>
    <w:rsid w:val="30E55D82"/>
    <w:rsid w:val="30EC5CC6"/>
    <w:rsid w:val="30FB19DC"/>
    <w:rsid w:val="3107240D"/>
    <w:rsid w:val="31195FCB"/>
    <w:rsid w:val="314A3681"/>
    <w:rsid w:val="31542D3B"/>
    <w:rsid w:val="315E3DF0"/>
    <w:rsid w:val="3166748C"/>
    <w:rsid w:val="31900E67"/>
    <w:rsid w:val="322E1B7A"/>
    <w:rsid w:val="32303C08"/>
    <w:rsid w:val="324568C8"/>
    <w:rsid w:val="324F2751"/>
    <w:rsid w:val="325F048D"/>
    <w:rsid w:val="32832752"/>
    <w:rsid w:val="329C47CD"/>
    <w:rsid w:val="32FE23BF"/>
    <w:rsid w:val="330E6893"/>
    <w:rsid w:val="331A34E4"/>
    <w:rsid w:val="332256D4"/>
    <w:rsid w:val="33DE0CB9"/>
    <w:rsid w:val="33EC1A91"/>
    <w:rsid w:val="33F64C7F"/>
    <w:rsid w:val="33FB7AC8"/>
    <w:rsid w:val="344277BC"/>
    <w:rsid w:val="344F7A97"/>
    <w:rsid w:val="34586101"/>
    <w:rsid w:val="346620C8"/>
    <w:rsid w:val="34680CAF"/>
    <w:rsid w:val="347744AE"/>
    <w:rsid w:val="34A45723"/>
    <w:rsid w:val="34AB7E73"/>
    <w:rsid w:val="34CC2CE0"/>
    <w:rsid w:val="34CF0216"/>
    <w:rsid w:val="3511129D"/>
    <w:rsid w:val="356A1C6B"/>
    <w:rsid w:val="35742CCA"/>
    <w:rsid w:val="35911F22"/>
    <w:rsid w:val="359455FE"/>
    <w:rsid w:val="35E37771"/>
    <w:rsid w:val="35EF263E"/>
    <w:rsid w:val="36091FD3"/>
    <w:rsid w:val="36714B62"/>
    <w:rsid w:val="369176E7"/>
    <w:rsid w:val="3694127A"/>
    <w:rsid w:val="369E1484"/>
    <w:rsid w:val="36B43102"/>
    <w:rsid w:val="36CD07B0"/>
    <w:rsid w:val="36EE4354"/>
    <w:rsid w:val="372201DB"/>
    <w:rsid w:val="37282390"/>
    <w:rsid w:val="373242C4"/>
    <w:rsid w:val="37340EF6"/>
    <w:rsid w:val="373E20CB"/>
    <w:rsid w:val="374B60EF"/>
    <w:rsid w:val="37514821"/>
    <w:rsid w:val="375C57D7"/>
    <w:rsid w:val="37987F08"/>
    <w:rsid w:val="37CB3A11"/>
    <w:rsid w:val="37DD651E"/>
    <w:rsid w:val="37EB4DE1"/>
    <w:rsid w:val="3815223D"/>
    <w:rsid w:val="381A51F4"/>
    <w:rsid w:val="3823131E"/>
    <w:rsid w:val="383B0423"/>
    <w:rsid w:val="386276E6"/>
    <w:rsid w:val="386C5C36"/>
    <w:rsid w:val="388A060E"/>
    <w:rsid w:val="38BA113F"/>
    <w:rsid w:val="38F53BAE"/>
    <w:rsid w:val="391B4947"/>
    <w:rsid w:val="39205BF2"/>
    <w:rsid w:val="392806A3"/>
    <w:rsid w:val="39362F4F"/>
    <w:rsid w:val="393855B5"/>
    <w:rsid w:val="39447902"/>
    <w:rsid w:val="397347DF"/>
    <w:rsid w:val="39AD6E99"/>
    <w:rsid w:val="39BB105A"/>
    <w:rsid w:val="39CC25A4"/>
    <w:rsid w:val="39ED0B9E"/>
    <w:rsid w:val="3A135075"/>
    <w:rsid w:val="3A67157A"/>
    <w:rsid w:val="3A8424B5"/>
    <w:rsid w:val="3A857D28"/>
    <w:rsid w:val="3A9A43F1"/>
    <w:rsid w:val="3AA12DFF"/>
    <w:rsid w:val="3AAA7C42"/>
    <w:rsid w:val="3AB31D0C"/>
    <w:rsid w:val="3AC0587C"/>
    <w:rsid w:val="3B0E5515"/>
    <w:rsid w:val="3B3418DA"/>
    <w:rsid w:val="3B380971"/>
    <w:rsid w:val="3B3E48C1"/>
    <w:rsid w:val="3B4A3B53"/>
    <w:rsid w:val="3B9A1F43"/>
    <w:rsid w:val="3BAF459B"/>
    <w:rsid w:val="3BC340D0"/>
    <w:rsid w:val="3BCA418F"/>
    <w:rsid w:val="3BD034C7"/>
    <w:rsid w:val="3BDA3DBC"/>
    <w:rsid w:val="3C2B53B9"/>
    <w:rsid w:val="3C2D3B81"/>
    <w:rsid w:val="3C365ECA"/>
    <w:rsid w:val="3C3C2CEB"/>
    <w:rsid w:val="3C640E0E"/>
    <w:rsid w:val="3C923082"/>
    <w:rsid w:val="3CA13237"/>
    <w:rsid w:val="3CBD5FAE"/>
    <w:rsid w:val="3CBE64F1"/>
    <w:rsid w:val="3CCF13AD"/>
    <w:rsid w:val="3CE4238B"/>
    <w:rsid w:val="3CF61444"/>
    <w:rsid w:val="3CF65823"/>
    <w:rsid w:val="3D004ED6"/>
    <w:rsid w:val="3D0354C7"/>
    <w:rsid w:val="3D2818A3"/>
    <w:rsid w:val="3D402263"/>
    <w:rsid w:val="3D6D132D"/>
    <w:rsid w:val="3D7359C7"/>
    <w:rsid w:val="3D7642C9"/>
    <w:rsid w:val="3DC2199E"/>
    <w:rsid w:val="3DC236A2"/>
    <w:rsid w:val="3DC711A7"/>
    <w:rsid w:val="3DDA6D42"/>
    <w:rsid w:val="3DFA6BAD"/>
    <w:rsid w:val="3DFC0CC4"/>
    <w:rsid w:val="3DFF13D1"/>
    <w:rsid w:val="3E055E2F"/>
    <w:rsid w:val="3E3A7708"/>
    <w:rsid w:val="3E5650B4"/>
    <w:rsid w:val="3E644A3A"/>
    <w:rsid w:val="3E7347F4"/>
    <w:rsid w:val="3E746699"/>
    <w:rsid w:val="3E774E9F"/>
    <w:rsid w:val="3E7B4E6D"/>
    <w:rsid w:val="3ECE73D3"/>
    <w:rsid w:val="3ED5386B"/>
    <w:rsid w:val="3EE04EC0"/>
    <w:rsid w:val="3EF83C43"/>
    <w:rsid w:val="3F01664D"/>
    <w:rsid w:val="3F03359F"/>
    <w:rsid w:val="3F175FC8"/>
    <w:rsid w:val="3FD010A5"/>
    <w:rsid w:val="3FD26C28"/>
    <w:rsid w:val="3FD90626"/>
    <w:rsid w:val="3FE86036"/>
    <w:rsid w:val="3FF752EF"/>
    <w:rsid w:val="401B166F"/>
    <w:rsid w:val="402327C5"/>
    <w:rsid w:val="405227FD"/>
    <w:rsid w:val="40553DBB"/>
    <w:rsid w:val="407121F8"/>
    <w:rsid w:val="40727205"/>
    <w:rsid w:val="40740EA4"/>
    <w:rsid w:val="407868C4"/>
    <w:rsid w:val="407B71B3"/>
    <w:rsid w:val="40850DCD"/>
    <w:rsid w:val="40A86A35"/>
    <w:rsid w:val="40B02347"/>
    <w:rsid w:val="40C9499F"/>
    <w:rsid w:val="4108158E"/>
    <w:rsid w:val="419532ED"/>
    <w:rsid w:val="419B3D5B"/>
    <w:rsid w:val="41AC1D9C"/>
    <w:rsid w:val="41BC3617"/>
    <w:rsid w:val="41DD01B8"/>
    <w:rsid w:val="42394836"/>
    <w:rsid w:val="423D24D5"/>
    <w:rsid w:val="4242619A"/>
    <w:rsid w:val="424F6EDD"/>
    <w:rsid w:val="42B20782"/>
    <w:rsid w:val="42B707C1"/>
    <w:rsid w:val="42DF035B"/>
    <w:rsid w:val="42F2086D"/>
    <w:rsid w:val="42F547BF"/>
    <w:rsid w:val="430A6BB3"/>
    <w:rsid w:val="431516B3"/>
    <w:rsid w:val="438F37A9"/>
    <w:rsid w:val="43994B5C"/>
    <w:rsid w:val="43CA7211"/>
    <w:rsid w:val="43F7565F"/>
    <w:rsid w:val="44312E59"/>
    <w:rsid w:val="4452439C"/>
    <w:rsid w:val="44675F50"/>
    <w:rsid w:val="447177A7"/>
    <w:rsid w:val="448B7CB5"/>
    <w:rsid w:val="44917C93"/>
    <w:rsid w:val="45021BC2"/>
    <w:rsid w:val="455F4C9C"/>
    <w:rsid w:val="45950B66"/>
    <w:rsid w:val="45961040"/>
    <w:rsid w:val="45BF4853"/>
    <w:rsid w:val="46136785"/>
    <w:rsid w:val="46141491"/>
    <w:rsid w:val="462E578F"/>
    <w:rsid w:val="46487CC3"/>
    <w:rsid w:val="46876CFF"/>
    <w:rsid w:val="46D41E44"/>
    <w:rsid w:val="46D93C52"/>
    <w:rsid w:val="472D41FA"/>
    <w:rsid w:val="472F3155"/>
    <w:rsid w:val="47353225"/>
    <w:rsid w:val="479A09A1"/>
    <w:rsid w:val="47A4662F"/>
    <w:rsid w:val="47A5261F"/>
    <w:rsid w:val="47AE2F53"/>
    <w:rsid w:val="47BB1643"/>
    <w:rsid w:val="47CE46DA"/>
    <w:rsid w:val="47E94F34"/>
    <w:rsid w:val="48202D76"/>
    <w:rsid w:val="488A4398"/>
    <w:rsid w:val="48CC4877"/>
    <w:rsid w:val="49216A6A"/>
    <w:rsid w:val="492E16ED"/>
    <w:rsid w:val="49502142"/>
    <w:rsid w:val="49521992"/>
    <w:rsid w:val="496938E0"/>
    <w:rsid w:val="496B37C1"/>
    <w:rsid w:val="49882B35"/>
    <w:rsid w:val="498E62B7"/>
    <w:rsid w:val="49B76F66"/>
    <w:rsid w:val="49BA7D50"/>
    <w:rsid w:val="49C44B33"/>
    <w:rsid w:val="49D17660"/>
    <w:rsid w:val="4A160844"/>
    <w:rsid w:val="4A7C2A22"/>
    <w:rsid w:val="4A8604DA"/>
    <w:rsid w:val="4AFE0DE7"/>
    <w:rsid w:val="4B094C89"/>
    <w:rsid w:val="4B104ABC"/>
    <w:rsid w:val="4B255188"/>
    <w:rsid w:val="4B2D6CE4"/>
    <w:rsid w:val="4B2E5E75"/>
    <w:rsid w:val="4B383F2F"/>
    <w:rsid w:val="4B3872E6"/>
    <w:rsid w:val="4B627D35"/>
    <w:rsid w:val="4B7F05B4"/>
    <w:rsid w:val="4B871486"/>
    <w:rsid w:val="4C140DFC"/>
    <w:rsid w:val="4C3B5420"/>
    <w:rsid w:val="4C3E45A0"/>
    <w:rsid w:val="4C515227"/>
    <w:rsid w:val="4C5604A8"/>
    <w:rsid w:val="4C6D0539"/>
    <w:rsid w:val="4C987828"/>
    <w:rsid w:val="4CA149AE"/>
    <w:rsid w:val="4CA50C40"/>
    <w:rsid w:val="4D2744ED"/>
    <w:rsid w:val="4D35388D"/>
    <w:rsid w:val="4D3741CF"/>
    <w:rsid w:val="4D425A95"/>
    <w:rsid w:val="4D7A0B6A"/>
    <w:rsid w:val="4DA408AB"/>
    <w:rsid w:val="4DB0348E"/>
    <w:rsid w:val="4DC915FF"/>
    <w:rsid w:val="4DD81B64"/>
    <w:rsid w:val="4DDE1762"/>
    <w:rsid w:val="4DEE15CF"/>
    <w:rsid w:val="4DF51404"/>
    <w:rsid w:val="4E5633F4"/>
    <w:rsid w:val="4E6B485C"/>
    <w:rsid w:val="4E7740D9"/>
    <w:rsid w:val="4EAC0AFF"/>
    <w:rsid w:val="4EC2021D"/>
    <w:rsid w:val="4F001CA3"/>
    <w:rsid w:val="4F084B37"/>
    <w:rsid w:val="4F1971FB"/>
    <w:rsid w:val="4F51625A"/>
    <w:rsid w:val="4F805D9D"/>
    <w:rsid w:val="4F914334"/>
    <w:rsid w:val="4FAC2061"/>
    <w:rsid w:val="4FBB221F"/>
    <w:rsid w:val="50036E2B"/>
    <w:rsid w:val="500F6690"/>
    <w:rsid w:val="504B0DF0"/>
    <w:rsid w:val="50510E8E"/>
    <w:rsid w:val="50637ABB"/>
    <w:rsid w:val="50795BD3"/>
    <w:rsid w:val="50924D47"/>
    <w:rsid w:val="50BD1398"/>
    <w:rsid w:val="50FD13B2"/>
    <w:rsid w:val="51282D4D"/>
    <w:rsid w:val="51327881"/>
    <w:rsid w:val="5169168B"/>
    <w:rsid w:val="51926DC2"/>
    <w:rsid w:val="51A85918"/>
    <w:rsid w:val="51C47CF6"/>
    <w:rsid w:val="521B4163"/>
    <w:rsid w:val="528A7BCA"/>
    <w:rsid w:val="529641A0"/>
    <w:rsid w:val="52C9608E"/>
    <w:rsid w:val="52D9178A"/>
    <w:rsid w:val="52FE30BB"/>
    <w:rsid w:val="532F01FB"/>
    <w:rsid w:val="5356206E"/>
    <w:rsid w:val="536E79E7"/>
    <w:rsid w:val="5375123D"/>
    <w:rsid w:val="538B500A"/>
    <w:rsid w:val="5395369D"/>
    <w:rsid w:val="53F313A1"/>
    <w:rsid w:val="54207E6C"/>
    <w:rsid w:val="54B40D35"/>
    <w:rsid w:val="54CE2507"/>
    <w:rsid w:val="55181CD2"/>
    <w:rsid w:val="552359D0"/>
    <w:rsid w:val="55474BFE"/>
    <w:rsid w:val="555A759A"/>
    <w:rsid w:val="555B7D08"/>
    <w:rsid w:val="556F7282"/>
    <w:rsid w:val="557837FF"/>
    <w:rsid w:val="557C2EDD"/>
    <w:rsid w:val="55932908"/>
    <w:rsid w:val="55BB65AB"/>
    <w:rsid w:val="55BD4A9F"/>
    <w:rsid w:val="55D01D97"/>
    <w:rsid w:val="55D9013B"/>
    <w:rsid w:val="55DF5A77"/>
    <w:rsid w:val="55E9733B"/>
    <w:rsid w:val="55F611D5"/>
    <w:rsid w:val="56311EFB"/>
    <w:rsid w:val="565E0057"/>
    <w:rsid w:val="56745085"/>
    <w:rsid w:val="56A37ED2"/>
    <w:rsid w:val="56C20B3A"/>
    <w:rsid w:val="56D951D8"/>
    <w:rsid w:val="57114B38"/>
    <w:rsid w:val="57244B18"/>
    <w:rsid w:val="57323D7B"/>
    <w:rsid w:val="5754428D"/>
    <w:rsid w:val="57775C20"/>
    <w:rsid w:val="577A519D"/>
    <w:rsid w:val="5784017F"/>
    <w:rsid w:val="57931253"/>
    <w:rsid w:val="579345B0"/>
    <w:rsid w:val="579B183D"/>
    <w:rsid w:val="57E553DC"/>
    <w:rsid w:val="57EA6028"/>
    <w:rsid w:val="57EF6871"/>
    <w:rsid w:val="57FE4B2C"/>
    <w:rsid w:val="5806770C"/>
    <w:rsid w:val="58235FFE"/>
    <w:rsid w:val="58240039"/>
    <w:rsid w:val="5828231D"/>
    <w:rsid w:val="582F5FB6"/>
    <w:rsid w:val="58446A9A"/>
    <w:rsid w:val="58797B85"/>
    <w:rsid w:val="588E1B2D"/>
    <w:rsid w:val="58AC1B34"/>
    <w:rsid w:val="58DE4F52"/>
    <w:rsid w:val="58E87853"/>
    <w:rsid w:val="58F975F9"/>
    <w:rsid w:val="595A121E"/>
    <w:rsid w:val="595E5E8F"/>
    <w:rsid w:val="598E354F"/>
    <w:rsid w:val="599D777F"/>
    <w:rsid w:val="59A82F79"/>
    <w:rsid w:val="59AD6642"/>
    <w:rsid w:val="59C75644"/>
    <w:rsid w:val="5A0D1E1B"/>
    <w:rsid w:val="5AE252AD"/>
    <w:rsid w:val="5AE801DE"/>
    <w:rsid w:val="5AF07FF7"/>
    <w:rsid w:val="5AF422E5"/>
    <w:rsid w:val="5B055B8B"/>
    <w:rsid w:val="5B512B1F"/>
    <w:rsid w:val="5B6434B9"/>
    <w:rsid w:val="5BA16ADF"/>
    <w:rsid w:val="5BD76CE2"/>
    <w:rsid w:val="5BF243F2"/>
    <w:rsid w:val="5BF26431"/>
    <w:rsid w:val="5C006D9C"/>
    <w:rsid w:val="5C01190A"/>
    <w:rsid w:val="5C0E728A"/>
    <w:rsid w:val="5C1C7139"/>
    <w:rsid w:val="5C7965BA"/>
    <w:rsid w:val="5C8D0454"/>
    <w:rsid w:val="5C904D30"/>
    <w:rsid w:val="5CC910D9"/>
    <w:rsid w:val="5CCA2991"/>
    <w:rsid w:val="5CCC7D4D"/>
    <w:rsid w:val="5D272F84"/>
    <w:rsid w:val="5D443734"/>
    <w:rsid w:val="5D4906B8"/>
    <w:rsid w:val="5D573AAA"/>
    <w:rsid w:val="5DD5283F"/>
    <w:rsid w:val="5E014018"/>
    <w:rsid w:val="5E4A1248"/>
    <w:rsid w:val="5E6B7E83"/>
    <w:rsid w:val="5E780DEA"/>
    <w:rsid w:val="5E7B7D5D"/>
    <w:rsid w:val="5E8E5422"/>
    <w:rsid w:val="5E967BC7"/>
    <w:rsid w:val="5EBF641D"/>
    <w:rsid w:val="5ECB1097"/>
    <w:rsid w:val="5EDF0BC7"/>
    <w:rsid w:val="5EE31366"/>
    <w:rsid w:val="5EEB572F"/>
    <w:rsid w:val="5EF67CAA"/>
    <w:rsid w:val="5EF70321"/>
    <w:rsid w:val="5EFA7DCF"/>
    <w:rsid w:val="5F1159EE"/>
    <w:rsid w:val="5F132495"/>
    <w:rsid w:val="5F183785"/>
    <w:rsid w:val="5F192C0B"/>
    <w:rsid w:val="5F4A5F40"/>
    <w:rsid w:val="5F631FA8"/>
    <w:rsid w:val="5FB47922"/>
    <w:rsid w:val="5FE75659"/>
    <w:rsid w:val="5FE90AF8"/>
    <w:rsid w:val="5FFC4FB3"/>
    <w:rsid w:val="600327E7"/>
    <w:rsid w:val="60371E1A"/>
    <w:rsid w:val="6042150C"/>
    <w:rsid w:val="60843483"/>
    <w:rsid w:val="609304D5"/>
    <w:rsid w:val="61050DE0"/>
    <w:rsid w:val="610B0AE6"/>
    <w:rsid w:val="612E38D8"/>
    <w:rsid w:val="614A2142"/>
    <w:rsid w:val="61531DCE"/>
    <w:rsid w:val="615F337C"/>
    <w:rsid w:val="618064C2"/>
    <w:rsid w:val="61943B9E"/>
    <w:rsid w:val="61BC23D0"/>
    <w:rsid w:val="61D050B8"/>
    <w:rsid w:val="626226F9"/>
    <w:rsid w:val="62665DC7"/>
    <w:rsid w:val="627175DC"/>
    <w:rsid w:val="62930E52"/>
    <w:rsid w:val="62E155D8"/>
    <w:rsid w:val="632F6127"/>
    <w:rsid w:val="635A4BE4"/>
    <w:rsid w:val="635F1FDF"/>
    <w:rsid w:val="63664ABF"/>
    <w:rsid w:val="63BE4D5A"/>
    <w:rsid w:val="64041E7F"/>
    <w:rsid w:val="64290F64"/>
    <w:rsid w:val="64377D57"/>
    <w:rsid w:val="645143E6"/>
    <w:rsid w:val="64636D0B"/>
    <w:rsid w:val="64A83DA6"/>
    <w:rsid w:val="64B13D75"/>
    <w:rsid w:val="64BC1880"/>
    <w:rsid w:val="64E67C56"/>
    <w:rsid w:val="64FB0616"/>
    <w:rsid w:val="6528709F"/>
    <w:rsid w:val="652D5E7F"/>
    <w:rsid w:val="6538259F"/>
    <w:rsid w:val="65507243"/>
    <w:rsid w:val="656027FF"/>
    <w:rsid w:val="65A76F5C"/>
    <w:rsid w:val="65A77101"/>
    <w:rsid w:val="65C753D5"/>
    <w:rsid w:val="65C91022"/>
    <w:rsid w:val="660D1534"/>
    <w:rsid w:val="661917C5"/>
    <w:rsid w:val="66457E51"/>
    <w:rsid w:val="6680376E"/>
    <w:rsid w:val="66824F18"/>
    <w:rsid w:val="66B971D1"/>
    <w:rsid w:val="66DD4FD8"/>
    <w:rsid w:val="66ED31EA"/>
    <w:rsid w:val="66F14F6F"/>
    <w:rsid w:val="66F5579B"/>
    <w:rsid w:val="6725236A"/>
    <w:rsid w:val="672A7FDE"/>
    <w:rsid w:val="672B2DF7"/>
    <w:rsid w:val="6735506E"/>
    <w:rsid w:val="67361532"/>
    <w:rsid w:val="673E3934"/>
    <w:rsid w:val="674C28A2"/>
    <w:rsid w:val="67864A7F"/>
    <w:rsid w:val="678C79BF"/>
    <w:rsid w:val="67976D28"/>
    <w:rsid w:val="67D10605"/>
    <w:rsid w:val="67D13F01"/>
    <w:rsid w:val="67E748E0"/>
    <w:rsid w:val="67F5278C"/>
    <w:rsid w:val="67F75E8E"/>
    <w:rsid w:val="68277913"/>
    <w:rsid w:val="68293C00"/>
    <w:rsid w:val="689C7721"/>
    <w:rsid w:val="68E34B21"/>
    <w:rsid w:val="68F13B92"/>
    <w:rsid w:val="691867A1"/>
    <w:rsid w:val="691A3243"/>
    <w:rsid w:val="69221EE6"/>
    <w:rsid w:val="696C42BB"/>
    <w:rsid w:val="697A3A8B"/>
    <w:rsid w:val="698A6B0F"/>
    <w:rsid w:val="69BF5FB8"/>
    <w:rsid w:val="69CC14E2"/>
    <w:rsid w:val="69CD6393"/>
    <w:rsid w:val="69EC4C9C"/>
    <w:rsid w:val="69F1784C"/>
    <w:rsid w:val="6A085BC1"/>
    <w:rsid w:val="6A1C7593"/>
    <w:rsid w:val="6A1F7A9F"/>
    <w:rsid w:val="6A38427B"/>
    <w:rsid w:val="6A76421E"/>
    <w:rsid w:val="6A782EAA"/>
    <w:rsid w:val="6A7D12F1"/>
    <w:rsid w:val="6A8D51AE"/>
    <w:rsid w:val="6AC76160"/>
    <w:rsid w:val="6AD3150D"/>
    <w:rsid w:val="6AF3139D"/>
    <w:rsid w:val="6AFA6684"/>
    <w:rsid w:val="6B115BA3"/>
    <w:rsid w:val="6B1C49E7"/>
    <w:rsid w:val="6B2A3BF0"/>
    <w:rsid w:val="6B435052"/>
    <w:rsid w:val="6B4873EB"/>
    <w:rsid w:val="6B5657F4"/>
    <w:rsid w:val="6B5F24B5"/>
    <w:rsid w:val="6B704279"/>
    <w:rsid w:val="6B731F50"/>
    <w:rsid w:val="6BB24687"/>
    <w:rsid w:val="6BE82C6E"/>
    <w:rsid w:val="6BEC58FB"/>
    <w:rsid w:val="6BF53230"/>
    <w:rsid w:val="6BF7258C"/>
    <w:rsid w:val="6C0621AA"/>
    <w:rsid w:val="6C5628B0"/>
    <w:rsid w:val="6C667711"/>
    <w:rsid w:val="6C79584D"/>
    <w:rsid w:val="6CDA7FFC"/>
    <w:rsid w:val="6CDB746B"/>
    <w:rsid w:val="6CEF7A41"/>
    <w:rsid w:val="6D020EA1"/>
    <w:rsid w:val="6D4A3B5E"/>
    <w:rsid w:val="6D777815"/>
    <w:rsid w:val="6DBA1DDD"/>
    <w:rsid w:val="6DC620EB"/>
    <w:rsid w:val="6DDA0CCD"/>
    <w:rsid w:val="6DE74779"/>
    <w:rsid w:val="6E0F1211"/>
    <w:rsid w:val="6E157FB3"/>
    <w:rsid w:val="6E6A7916"/>
    <w:rsid w:val="6E732CEA"/>
    <w:rsid w:val="6EE70A89"/>
    <w:rsid w:val="6EF00E07"/>
    <w:rsid w:val="6F015689"/>
    <w:rsid w:val="6F3B7D08"/>
    <w:rsid w:val="6F596421"/>
    <w:rsid w:val="6F5B1BC6"/>
    <w:rsid w:val="6F6B7D6A"/>
    <w:rsid w:val="6F717B6E"/>
    <w:rsid w:val="6FB30B76"/>
    <w:rsid w:val="6FBD0858"/>
    <w:rsid w:val="6FC72452"/>
    <w:rsid w:val="6FEA5836"/>
    <w:rsid w:val="708C3687"/>
    <w:rsid w:val="709241E9"/>
    <w:rsid w:val="70AB0E5A"/>
    <w:rsid w:val="70EA7B43"/>
    <w:rsid w:val="70F754D7"/>
    <w:rsid w:val="70F825BD"/>
    <w:rsid w:val="71020BA8"/>
    <w:rsid w:val="710C7745"/>
    <w:rsid w:val="713B6599"/>
    <w:rsid w:val="71615427"/>
    <w:rsid w:val="71963E0C"/>
    <w:rsid w:val="71AC4F7C"/>
    <w:rsid w:val="71B07F93"/>
    <w:rsid w:val="723B3342"/>
    <w:rsid w:val="724C04FD"/>
    <w:rsid w:val="725306B2"/>
    <w:rsid w:val="729647EA"/>
    <w:rsid w:val="72E1752D"/>
    <w:rsid w:val="73725529"/>
    <w:rsid w:val="73951F43"/>
    <w:rsid w:val="73A015C2"/>
    <w:rsid w:val="73A913CF"/>
    <w:rsid w:val="73EB1497"/>
    <w:rsid w:val="74000A47"/>
    <w:rsid w:val="740B65B5"/>
    <w:rsid w:val="74484526"/>
    <w:rsid w:val="745B45EA"/>
    <w:rsid w:val="745D0DBF"/>
    <w:rsid w:val="74885606"/>
    <w:rsid w:val="74B06B64"/>
    <w:rsid w:val="74BB6271"/>
    <w:rsid w:val="751115BE"/>
    <w:rsid w:val="751F2214"/>
    <w:rsid w:val="75380027"/>
    <w:rsid w:val="754E2408"/>
    <w:rsid w:val="75580F8A"/>
    <w:rsid w:val="755901B1"/>
    <w:rsid w:val="75641A99"/>
    <w:rsid w:val="75740E00"/>
    <w:rsid w:val="757F162D"/>
    <w:rsid w:val="7588768D"/>
    <w:rsid w:val="7598022F"/>
    <w:rsid w:val="75BE31B8"/>
    <w:rsid w:val="75CC2D4E"/>
    <w:rsid w:val="75CD3E0E"/>
    <w:rsid w:val="75DE6456"/>
    <w:rsid w:val="75F71430"/>
    <w:rsid w:val="7616035B"/>
    <w:rsid w:val="763A080C"/>
    <w:rsid w:val="765A6478"/>
    <w:rsid w:val="76641507"/>
    <w:rsid w:val="76EB5B39"/>
    <w:rsid w:val="76ED2AF4"/>
    <w:rsid w:val="77020138"/>
    <w:rsid w:val="77042F0B"/>
    <w:rsid w:val="77101C07"/>
    <w:rsid w:val="77132632"/>
    <w:rsid w:val="771478EB"/>
    <w:rsid w:val="77337668"/>
    <w:rsid w:val="773E5387"/>
    <w:rsid w:val="77407904"/>
    <w:rsid w:val="775A5AE2"/>
    <w:rsid w:val="776F4F23"/>
    <w:rsid w:val="77B14E94"/>
    <w:rsid w:val="77B61C34"/>
    <w:rsid w:val="77E359DC"/>
    <w:rsid w:val="78156E78"/>
    <w:rsid w:val="782D5EAF"/>
    <w:rsid w:val="78604CAD"/>
    <w:rsid w:val="78833E10"/>
    <w:rsid w:val="78857F16"/>
    <w:rsid w:val="7897138D"/>
    <w:rsid w:val="789F1175"/>
    <w:rsid w:val="78A335C7"/>
    <w:rsid w:val="78A515AE"/>
    <w:rsid w:val="790842E1"/>
    <w:rsid w:val="790B385D"/>
    <w:rsid w:val="79176CCC"/>
    <w:rsid w:val="791C1026"/>
    <w:rsid w:val="792778C8"/>
    <w:rsid w:val="7931734A"/>
    <w:rsid w:val="793C27DB"/>
    <w:rsid w:val="794B5A64"/>
    <w:rsid w:val="796124CE"/>
    <w:rsid w:val="79700230"/>
    <w:rsid w:val="7982765F"/>
    <w:rsid w:val="79983041"/>
    <w:rsid w:val="79AF2036"/>
    <w:rsid w:val="79BD46A6"/>
    <w:rsid w:val="7A36081C"/>
    <w:rsid w:val="7A431A7E"/>
    <w:rsid w:val="7A91133C"/>
    <w:rsid w:val="7AB327A7"/>
    <w:rsid w:val="7AD04A1A"/>
    <w:rsid w:val="7ADB38D4"/>
    <w:rsid w:val="7AE0744A"/>
    <w:rsid w:val="7AE453EE"/>
    <w:rsid w:val="7B1675F8"/>
    <w:rsid w:val="7B1C17B9"/>
    <w:rsid w:val="7B2044F7"/>
    <w:rsid w:val="7B310E5D"/>
    <w:rsid w:val="7B5A6F58"/>
    <w:rsid w:val="7B6C3958"/>
    <w:rsid w:val="7BA36090"/>
    <w:rsid w:val="7BC84C59"/>
    <w:rsid w:val="7BDD642E"/>
    <w:rsid w:val="7BF00D94"/>
    <w:rsid w:val="7BF13877"/>
    <w:rsid w:val="7BF85702"/>
    <w:rsid w:val="7C01401C"/>
    <w:rsid w:val="7C587C3D"/>
    <w:rsid w:val="7C782645"/>
    <w:rsid w:val="7CB33935"/>
    <w:rsid w:val="7CB86B17"/>
    <w:rsid w:val="7CC85AEF"/>
    <w:rsid w:val="7CCA756B"/>
    <w:rsid w:val="7CCD3892"/>
    <w:rsid w:val="7CCD66F5"/>
    <w:rsid w:val="7CD04728"/>
    <w:rsid w:val="7CF20ECE"/>
    <w:rsid w:val="7D1E5454"/>
    <w:rsid w:val="7D7A3E7D"/>
    <w:rsid w:val="7D9F26BC"/>
    <w:rsid w:val="7DBE1A3A"/>
    <w:rsid w:val="7DD2691C"/>
    <w:rsid w:val="7E021E79"/>
    <w:rsid w:val="7E2870F4"/>
    <w:rsid w:val="7E333FDB"/>
    <w:rsid w:val="7E3563A1"/>
    <w:rsid w:val="7E3842C6"/>
    <w:rsid w:val="7E654AE8"/>
    <w:rsid w:val="7E735DA8"/>
    <w:rsid w:val="7E753CCA"/>
    <w:rsid w:val="7E9326F9"/>
    <w:rsid w:val="7E9D42A8"/>
    <w:rsid w:val="7EE10C39"/>
    <w:rsid w:val="7EE20452"/>
    <w:rsid w:val="7F0728CE"/>
    <w:rsid w:val="7F0E6A25"/>
    <w:rsid w:val="7F395D9C"/>
    <w:rsid w:val="7F595FE2"/>
    <w:rsid w:val="7F663CA4"/>
    <w:rsid w:val="7F712118"/>
    <w:rsid w:val="7F79468E"/>
    <w:rsid w:val="7FD47A79"/>
    <w:rsid w:val="7FD9537A"/>
    <w:rsid w:val="7FFF1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New Paragraph Style"/>
    <w:basedOn w:val="1"/>
    <w:qFormat/>
    <w:uiPriority w:val="0"/>
    <w:pPr>
      <w:widowControl w:val="0"/>
      <w:numPr>
        <w:ilvl w:val="0"/>
        <w:numId w:val="9"/>
      </w:numPr>
      <w:adjustRightInd w:val="0"/>
      <w:spacing w:line="480" w:lineRule="auto"/>
      <w:jc w:val="both"/>
      <w:textAlignment w:val="baseline"/>
    </w:pPr>
    <w:rPr>
      <w:rFonts w:ascii="Courier New" w:hAnsi="Courier New" w:eastAsia="Times New Roman"/>
      <w:bCs/>
      <w:szCs w:val="20"/>
    </w:rPr>
  </w:style>
  <w:style w:type="character" w:customStyle="1" w:styleId="153">
    <w:name w:val="B1 (文字)"/>
    <w:qFormat/>
    <w:locked/>
    <w:uiPriority w:val="0"/>
    <w:rPr>
      <w:rFonts w:ascii="Times New Roman" w:hAnsi="Times New Roman" w:eastAsia="Times New Roman" w:cs="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chart" Target="charts/chart1.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2.xml"/><Relationship Id="rId11" Type="http://schemas.openxmlformats.org/officeDocument/2006/relationships/image" Target="media/image4.emf"/><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Rma_700MHz_O2I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enhancement仿真结果.xlsx]20200114-无跳频'!$A$504</c:f>
              <c:strCache>
                <c:ptCount val="1"/>
                <c:pt idx="0">
                  <c:v>8 repetitions 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enhancement仿真结果.xlsx]20200114-无跳频'!$B$504:$G$504</c:f>
              <c:numCache>
                <c:formatCode>General</c:formatCode>
                <c:ptCount val="6"/>
                <c:pt idx="0">
                  <c:v>0.95196</c:v>
                </c:pt>
                <c:pt idx="1">
                  <c:v>0.83026</c:v>
                </c:pt>
                <c:pt idx="2">
                  <c:v>0.60048</c:v>
                </c:pt>
                <c:pt idx="3">
                  <c:v>0.35308</c:v>
                </c:pt>
                <c:pt idx="4">
                  <c:v>0.17374</c:v>
                </c:pt>
                <c:pt idx="5">
                  <c:v>0.07206</c:v>
                </c:pt>
              </c:numCache>
            </c:numRef>
          </c:val>
          <c:smooth val="0"/>
        </c:ser>
        <c:ser>
          <c:idx val="1"/>
          <c:order val="1"/>
          <c:tx>
            <c:strRef>
              <c:f>'[Coverage enhancement仿真结果.xlsx]20200114-无跳频'!$A$505</c:f>
              <c:strCache>
                <c:ptCount val="1"/>
                <c:pt idx="0">
                  <c:v>8 repetitions with inter-slot FH</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enhancement仿真结果.xlsx]20200114-无跳频'!$B$505:$G$505</c:f>
              <c:numCache>
                <c:formatCode>General</c:formatCode>
                <c:ptCount val="6"/>
                <c:pt idx="0">
                  <c:v>0.96797</c:v>
                </c:pt>
                <c:pt idx="1">
                  <c:v>0.80945</c:v>
                </c:pt>
                <c:pt idx="2">
                  <c:v>0.53082</c:v>
                </c:pt>
                <c:pt idx="3">
                  <c:v>0.2545</c:v>
                </c:pt>
                <c:pt idx="4">
                  <c:v>0.07766</c:v>
                </c:pt>
                <c:pt idx="5">
                  <c:v>0.02882</c:v>
                </c:pt>
              </c:numCache>
            </c:numRef>
          </c:val>
          <c:smooth val="0"/>
        </c:ser>
        <c:ser>
          <c:idx val="2"/>
          <c:order val="2"/>
          <c:tx>
            <c:strRef>
              <c:f>'[Coverage enhancement仿真结果.xlsx]20200114-无跳频'!$A$506</c:f>
              <c:strCache>
                <c:ptCount val="1"/>
                <c:pt idx="0">
                  <c:v>8 repetitions with joint channel estimation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enhancement仿真结果.xlsx]20200114-无跳频'!$B$506:$G$506</c:f>
              <c:numCache>
                <c:formatCode>General</c:formatCode>
                <c:ptCount val="6"/>
                <c:pt idx="0">
                  <c:v>0.75901</c:v>
                </c:pt>
                <c:pt idx="1">
                  <c:v>0.51962</c:v>
                </c:pt>
                <c:pt idx="2">
                  <c:v>0.30024</c:v>
                </c:pt>
                <c:pt idx="3">
                  <c:v>0.14011</c:v>
                </c:pt>
                <c:pt idx="4">
                  <c:v>0.06565</c:v>
                </c:pt>
                <c:pt idx="5">
                  <c:v>0.02722</c:v>
                </c:pt>
              </c:numCache>
            </c:numRef>
          </c:val>
          <c:smooth val="0"/>
        </c:ser>
        <c:ser>
          <c:idx val="3"/>
          <c:order val="3"/>
          <c:tx>
            <c:strRef>
              <c:f>'[Coverage enhancement仿真结果.xlsx]20200114-无跳频'!$A$507</c:f>
              <c:strCache>
                <c:ptCount val="1"/>
                <c:pt idx="0">
                  <c:v>8 repetitions with inter-slot FH bundling size 2 and joint channel estimation in each bundle</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enhancement仿真结果.xlsx]20200114-无跳频'!$B$507:$G$507</c:f>
              <c:numCache>
                <c:formatCode>General</c:formatCode>
                <c:ptCount val="6"/>
                <c:pt idx="0">
                  <c:v>0.89752</c:v>
                </c:pt>
                <c:pt idx="1">
                  <c:v>0.64051</c:v>
                </c:pt>
                <c:pt idx="2">
                  <c:v>0.39231</c:v>
                </c:pt>
                <c:pt idx="3">
                  <c:v>0.15052</c:v>
                </c:pt>
                <c:pt idx="4">
                  <c:v>0.04323</c:v>
                </c:pt>
                <c:pt idx="5">
                  <c:v>0.01601</c:v>
                </c:pt>
              </c:numCache>
            </c:numRef>
          </c:val>
          <c:smooth val="0"/>
        </c:ser>
        <c:ser>
          <c:idx val="4"/>
          <c:order val="4"/>
          <c:tx>
            <c:strRef>
              <c:f>'[Coverage enhancement仿真结果.xlsx]20200114-无跳频'!$A$508</c:f>
              <c:strCache>
                <c:ptCount val="1"/>
                <c:pt idx="0">
                  <c:v>8 repetitions with inter-slot FH bundling size 4 and joint channel estimation in each bundle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enhancement仿真结果.xlsx]20200114-无跳频'!$B$508:$G$508</c:f>
              <c:numCache>
                <c:formatCode>General</c:formatCode>
                <c:ptCount val="6"/>
                <c:pt idx="0">
                  <c:v>0.79183</c:v>
                </c:pt>
                <c:pt idx="1">
                  <c:v>0.52602</c:v>
                </c:pt>
                <c:pt idx="2">
                  <c:v>0.26021</c:v>
                </c:pt>
                <c:pt idx="3">
                  <c:v>0.09207</c:v>
                </c:pt>
                <c:pt idx="4">
                  <c:v>0.03283</c:v>
                </c:pt>
                <c:pt idx="5">
                  <c:v>0.01201</c:v>
                </c:pt>
              </c:numCache>
            </c:numRef>
          </c:val>
          <c:smooth val="0"/>
        </c:ser>
        <c:dLbls>
          <c:showLegendKey val="0"/>
          <c:showVal val="0"/>
          <c:showCatName val="0"/>
          <c:showSerName val="0"/>
          <c:showPercent val="0"/>
          <c:showBubbleSize val="0"/>
        </c:dLbls>
        <c:marker val="1"/>
        <c:smooth val="0"/>
        <c:axId val="895672690"/>
        <c:axId val="594895001"/>
      </c:lineChart>
      <c:catAx>
        <c:axId val="895672690"/>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94895001"/>
        <c:crossesAt val="0"/>
        <c:auto val="1"/>
        <c:lblAlgn val="ctr"/>
        <c:lblOffset val="100"/>
        <c:noMultiLvlLbl val="0"/>
      </c:catAx>
      <c:valAx>
        <c:axId val="594895001"/>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9567269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Rma_700MHz_O2I</a:t>
            </a:r>
            <a:endParaRPr lang="en-US" altLang="zh-CN"/>
          </a:p>
        </c:rich>
      </c:tx>
      <c:layout/>
      <c:overlay val="0"/>
      <c:spPr>
        <a:noFill/>
        <a:ln>
          <a:noFill/>
        </a:ln>
        <a:effectLst/>
      </c:spPr>
    </c:title>
    <c:autoTitleDeleted val="0"/>
    <c:plotArea>
      <c:layout>
        <c:manualLayout>
          <c:layoutTarget val="inner"/>
          <c:xMode val="edge"/>
          <c:yMode val="edge"/>
          <c:x val="0.0716211912092579"/>
          <c:y val="0.0750338425836395"/>
          <c:w val="0.905021764518526"/>
          <c:h val="0.540649777605879"/>
        </c:manualLayout>
      </c:layout>
      <c:lineChart>
        <c:grouping val="standard"/>
        <c:varyColors val="0"/>
        <c:ser>
          <c:idx val="1"/>
          <c:order val="1"/>
          <c:tx>
            <c:strRef>
              <c:f>'[Coverage enhancement仿真结果.xlsx]20200114-无跳频'!$A$522</c:f>
              <c:strCache>
                <c:ptCount val="1"/>
                <c:pt idx="0">
                  <c:v>Case 1:DMRS pattern 1 w/o joint channel estimation w/ FO, (Baseline 1, MCS0)</c:v>
                </c:pt>
              </c:strCache>
            </c:strRef>
          </c:tx>
          <c:spPr>
            <a:ln w="28575" cap="rnd" cmpd="sng">
              <a:solidFill>
                <a:schemeClr val="accent2"/>
              </a:solidFill>
              <a:prstDash val="solid"/>
              <a:round/>
            </a:ln>
            <a:effectLst/>
            <a:sp3d contourW="28575"/>
          </c:spPr>
          <c:marker>
            <c:symbol val="circle"/>
            <c:size val="5"/>
            <c:spPr>
              <a:solidFill>
                <a:schemeClr val="accent2"/>
              </a:solidFill>
              <a:ln w="9525">
                <a:solidFill>
                  <a:schemeClr val="accent2"/>
                </a:solidFill>
              </a:ln>
              <a:effectLst/>
            </c:spPr>
          </c:marker>
          <c:dLbls>
            <c:delete val="1"/>
          </c:dLbls>
          <c:cat>
            <c:numRef>
              <c:f>'[Coverage enhancement仿真结果.xlsx]20200114-无跳频'!$B$520:$G$520</c:f>
              <c:numCache>
                <c:formatCode>General</c:formatCode>
                <c:ptCount val="6"/>
                <c:pt idx="0">
                  <c:v>-20</c:v>
                </c:pt>
                <c:pt idx="1">
                  <c:v>-18</c:v>
                </c:pt>
                <c:pt idx="2">
                  <c:v>-16</c:v>
                </c:pt>
                <c:pt idx="3">
                  <c:v>-14</c:v>
                </c:pt>
                <c:pt idx="4">
                  <c:v>-12</c:v>
                </c:pt>
                <c:pt idx="5">
                  <c:v>-10</c:v>
                </c:pt>
              </c:numCache>
            </c:numRef>
          </c:cat>
          <c:val>
            <c:numRef>
              <c:f>'[Coverage enhancement仿真结果.xlsx]20200114-无跳频'!$B$522:$G$522</c:f>
              <c:numCache>
                <c:formatCode>General</c:formatCode>
                <c:ptCount val="6"/>
                <c:pt idx="0">
                  <c:v>0.96397</c:v>
                </c:pt>
                <c:pt idx="1">
                  <c:v>0.78383</c:v>
                </c:pt>
                <c:pt idx="2">
                  <c:v>0.43395</c:v>
                </c:pt>
                <c:pt idx="3">
                  <c:v>0.17854</c:v>
                </c:pt>
                <c:pt idx="4">
                  <c:v>0.05524</c:v>
                </c:pt>
                <c:pt idx="5">
                  <c:v>0.01521</c:v>
                </c:pt>
              </c:numCache>
            </c:numRef>
          </c:val>
          <c:smooth val="0"/>
        </c:ser>
        <c:ser>
          <c:idx val="3"/>
          <c:order val="3"/>
          <c:tx>
            <c:strRef>
              <c:f>'[Coverage enhancement仿真结果.xlsx]20200114-无跳频'!$A$524</c:f>
              <c:strCache>
                <c:ptCount val="1"/>
                <c:pt idx="0">
                  <c:v>Case 2:DMRS pattern 2 w/o joint channel estimation w/ FO, (Baseline 2, MCS1)</c:v>
                </c:pt>
              </c:strCache>
            </c:strRef>
          </c:tx>
          <c:spPr>
            <a:ln w="28575" cap="rnd" cmpd="sng">
              <a:solidFill>
                <a:schemeClr val="accent4"/>
              </a:solidFill>
              <a:prstDash val="solid"/>
              <a:round/>
            </a:ln>
            <a:effectLst/>
            <a:sp3d contourW="28575"/>
          </c:spPr>
          <c:marker>
            <c:symbol val="circle"/>
            <c:size val="5"/>
            <c:spPr>
              <a:solidFill>
                <a:schemeClr val="accent4"/>
              </a:solidFill>
              <a:ln w="9525">
                <a:solidFill>
                  <a:schemeClr val="accent4"/>
                </a:solidFill>
              </a:ln>
              <a:effectLst/>
            </c:spPr>
          </c:marker>
          <c:dLbls>
            <c:delete val="1"/>
          </c:dLbls>
          <c:cat>
            <c:numRef>
              <c:f>'[Coverage enhancement仿真结果.xlsx]20200114-无跳频'!$B$520:$G$520</c:f>
              <c:numCache>
                <c:formatCode>General</c:formatCode>
                <c:ptCount val="6"/>
                <c:pt idx="0">
                  <c:v>-20</c:v>
                </c:pt>
                <c:pt idx="1">
                  <c:v>-18</c:v>
                </c:pt>
                <c:pt idx="2">
                  <c:v>-16</c:v>
                </c:pt>
                <c:pt idx="3">
                  <c:v>-14</c:v>
                </c:pt>
                <c:pt idx="4">
                  <c:v>-12</c:v>
                </c:pt>
                <c:pt idx="5">
                  <c:v>-10</c:v>
                </c:pt>
              </c:numCache>
            </c:numRef>
          </c:cat>
          <c:val>
            <c:numRef>
              <c:f>'[Coverage enhancement仿真结果.xlsx]20200114-无跳频'!$B$524:$G$524</c:f>
              <c:numCache>
                <c:formatCode>General</c:formatCode>
                <c:ptCount val="6"/>
                <c:pt idx="0">
                  <c:v>0.95356</c:v>
                </c:pt>
                <c:pt idx="1">
                  <c:v>0.73899</c:v>
                </c:pt>
                <c:pt idx="2">
                  <c:v>0.41553</c:v>
                </c:pt>
                <c:pt idx="3">
                  <c:v>0.16493</c:v>
                </c:pt>
                <c:pt idx="4">
                  <c:v>0.05524</c:v>
                </c:pt>
                <c:pt idx="5">
                  <c:v>0.01601</c:v>
                </c:pt>
              </c:numCache>
            </c:numRef>
          </c:val>
          <c:smooth val="0"/>
        </c:ser>
        <c:ser>
          <c:idx val="5"/>
          <c:order val="5"/>
          <c:tx>
            <c:strRef>
              <c:f>'[Coverage enhancement仿真结果.xlsx]20200114-无跳频'!$A$526</c:f>
              <c:strCache>
                <c:ptCount val="1"/>
                <c:pt idx="0">
                  <c:v>Case 3:DMRS pattern 1 w/ joint channel estimation, w/o DMRS optimization, w/ FO, MCS0</c:v>
                </c:pt>
              </c:strCache>
            </c:strRef>
          </c:tx>
          <c:spPr>
            <a:ln w="28575" cap="rnd" cmpd="sng">
              <a:solidFill>
                <a:schemeClr val="accent1">
                  <a:lumMod val="60000"/>
                  <a:lumOff val="40000"/>
                </a:schemeClr>
              </a:solidFill>
              <a:prstDash val="solid"/>
              <a:round/>
            </a:ln>
            <a:effectLst/>
            <a:sp3d contourW="28575"/>
          </c:spPr>
          <c:marker>
            <c:symbol val="circle"/>
            <c:size val="5"/>
            <c:spPr>
              <a:solidFill>
                <a:schemeClr val="accent1"/>
              </a:solidFill>
              <a:ln w="9525">
                <a:solidFill>
                  <a:schemeClr val="accent1"/>
                </a:solidFill>
              </a:ln>
              <a:effectLst/>
            </c:spPr>
          </c:marker>
          <c:dLbls>
            <c:delete val="1"/>
          </c:dLbls>
          <c:cat>
            <c:numRef>
              <c:f>'[Coverage enhancement仿真结果.xlsx]20200114-无跳频'!$B$520:$G$520</c:f>
              <c:numCache>
                <c:formatCode>General</c:formatCode>
                <c:ptCount val="6"/>
                <c:pt idx="0">
                  <c:v>-20</c:v>
                </c:pt>
                <c:pt idx="1">
                  <c:v>-18</c:v>
                </c:pt>
                <c:pt idx="2">
                  <c:v>-16</c:v>
                </c:pt>
                <c:pt idx="3">
                  <c:v>-14</c:v>
                </c:pt>
                <c:pt idx="4">
                  <c:v>-12</c:v>
                </c:pt>
                <c:pt idx="5">
                  <c:v>-10</c:v>
                </c:pt>
              </c:numCache>
            </c:numRef>
          </c:cat>
          <c:val>
            <c:numRef>
              <c:f>'[Coverage enhancement仿真结果.xlsx]20200114-无跳频'!$B$526:$G$526</c:f>
              <c:numCache>
                <c:formatCode>General</c:formatCode>
                <c:ptCount val="6"/>
                <c:pt idx="0">
                  <c:v>0.69416</c:v>
                </c:pt>
                <c:pt idx="1">
                  <c:v>0.36109</c:v>
                </c:pt>
                <c:pt idx="2">
                  <c:v>0.14412</c:v>
                </c:pt>
                <c:pt idx="3">
                  <c:v>0.04564</c:v>
                </c:pt>
              </c:numCache>
            </c:numRef>
          </c:val>
          <c:smooth val="0"/>
        </c:ser>
        <c:ser>
          <c:idx val="7"/>
          <c:order val="7"/>
          <c:tx>
            <c:strRef>
              <c:f>'[Coverage enhancement仿真结果.xlsx]20200114-无跳频'!$A$528</c:f>
              <c:strCache>
                <c:ptCount val="1"/>
                <c:pt idx="0">
                  <c:v>Case 4:DMRS pattern 2 w/ joint channel estimation, w/o DMRS optimization, w/ FO, MCS1</c:v>
                </c:pt>
              </c:strCache>
            </c:strRef>
          </c:tx>
          <c:spPr>
            <a:ln w="28575" cap="rnd" cmpd="sng">
              <a:solidFill>
                <a:schemeClr val="accent2">
                  <a:lumMod val="60000"/>
                </a:schemeClr>
              </a:solidFill>
              <a:prstDash val="solid"/>
              <a:round/>
            </a:ln>
            <a:effectLst/>
            <a:sp3d contourW="28575"/>
          </c:spPr>
          <c:marker>
            <c:symbol val="circle"/>
            <c:size val="5"/>
            <c:spPr>
              <a:solidFill>
                <a:schemeClr val="accent2">
                  <a:lumMod val="60000"/>
                </a:schemeClr>
              </a:solidFill>
              <a:ln w="9525">
                <a:solidFill>
                  <a:schemeClr val="accent2">
                    <a:lumMod val="60000"/>
                  </a:schemeClr>
                </a:solidFill>
              </a:ln>
              <a:effectLst/>
            </c:spPr>
          </c:marker>
          <c:dLbls>
            <c:delete val="1"/>
          </c:dLbls>
          <c:cat>
            <c:numRef>
              <c:f>'[Coverage enhancement仿真结果.xlsx]20200114-无跳频'!$B$520:$G$520</c:f>
              <c:numCache>
                <c:formatCode>General</c:formatCode>
                <c:ptCount val="6"/>
                <c:pt idx="0">
                  <c:v>-20</c:v>
                </c:pt>
                <c:pt idx="1">
                  <c:v>-18</c:v>
                </c:pt>
                <c:pt idx="2">
                  <c:v>-16</c:v>
                </c:pt>
                <c:pt idx="3">
                  <c:v>-14</c:v>
                </c:pt>
                <c:pt idx="4">
                  <c:v>-12</c:v>
                </c:pt>
                <c:pt idx="5">
                  <c:v>-10</c:v>
                </c:pt>
              </c:numCache>
            </c:numRef>
          </c:cat>
          <c:val>
            <c:numRef>
              <c:f>'[Coverage enhancement仿真结果.xlsx]20200114-无跳频'!$B$528:$G$528</c:f>
              <c:numCache>
                <c:formatCode>General</c:formatCode>
                <c:ptCount val="6"/>
                <c:pt idx="0">
                  <c:v>0.78062</c:v>
                </c:pt>
                <c:pt idx="1">
                  <c:v>0.47398</c:v>
                </c:pt>
                <c:pt idx="2">
                  <c:v>0.20176</c:v>
                </c:pt>
                <c:pt idx="3">
                  <c:v>0.07126</c:v>
                </c:pt>
                <c:pt idx="4">
                  <c:v>0.02242</c:v>
                </c:pt>
              </c:numCache>
            </c:numRef>
          </c:val>
          <c:smooth val="0"/>
        </c:ser>
        <c:ser>
          <c:idx val="9"/>
          <c:order val="9"/>
          <c:tx>
            <c:strRef>
              <c:f>'[Coverage enhancement仿真结果.xlsx]20200114-无跳频'!$A$530</c:f>
              <c:strCache>
                <c:ptCount val="1"/>
                <c:pt idx="0">
                  <c:v>Case 5:DMRS pattern 3 w/ joint channel estimation, w/ DMRS optimization, w/ FO, MCS0</c:v>
                </c:pt>
              </c:strCache>
            </c:strRef>
          </c:tx>
          <c:spPr>
            <a:ln w="28575" cap="rnd" cmpd="sng">
              <a:solidFill>
                <a:schemeClr val="accent4">
                  <a:lumMod val="60000"/>
                </a:schemeClr>
              </a:solidFill>
              <a:prstDash val="solid"/>
              <a:round/>
            </a:ln>
            <a:effectLst/>
            <a:sp3d contourW="28575"/>
          </c:spPr>
          <c:marker>
            <c:symbol val="circle"/>
            <c:size val="5"/>
            <c:spPr>
              <a:solidFill>
                <a:schemeClr val="accent4">
                  <a:lumMod val="60000"/>
                </a:schemeClr>
              </a:solidFill>
              <a:ln w="9525">
                <a:solidFill>
                  <a:schemeClr val="accent4">
                    <a:lumMod val="60000"/>
                  </a:schemeClr>
                </a:solidFill>
              </a:ln>
              <a:effectLst/>
            </c:spPr>
          </c:marker>
          <c:dLbls>
            <c:delete val="1"/>
          </c:dLbls>
          <c:cat>
            <c:numRef>
              <c:f>'[Coverage enhancement仿真结果.xlsx]20200114-无跳频'!$B$520:$G$520</c:f>
              <c:numCache>
                <c:formatCode>General</c:formatCode>
                <c:ptCount val="6"/>
                <c:pt idx="0">
                  <c:v>-20</c:v>
                </c:pt>
                <c:pt idx="1">
                  <c:v>-18</c:v>
                </c:pt>
                <c:pt idx="2">
                  <c:v>-16</c:v>
                </c:pt>
                <c:pt idx="3">
                  <c:v>-14</c:v>
                </c:pt>
                <c:pt idx="4">
                  <c:v>-12</c:v>
                </c:pt>
                <c:pt idx="5">
                  <c:v>-10</c:v>
                </c:pt>
              </c:numCache>
            </c:numRef>
          </c:cat>
          <c:val>
            <c:numRef>
              <c:f>'[Coverage enhancement仿真结果.xlsx]20200114-无跳频'!$B$530:$G$530</c:f>
              <c:numCache>
                <c:formatCode>General</c:formatCode>
                <c:ptCount val="6"/>
                <c:pt idx="0">
                  <c:v>0.7558</c:v>
                </c:pt>
                <c:pt idx="1">
                  <c:v>0.43875</c:v>
                </c:pt>
                <c:pt idx="2">
                  <c:v>0.20657</c:v>
                </c:pt>
                <c:pt idx="3">
                  <c:v>0.07526</c:v>
                </c:pt>
                <c:pt idx="4">
                  <c:v>0.02162</c:v>
                </c:pt>
                <c:pt idx="5">
                  <c:v>0.004</c:v>
                </c:pt>
              </c:numCache>
            </c:numRef>
          </c:val>
          <c:smooth val="0"/>
        </c:ser>
        <c:ser>
          <c:idx val="11"/>
          <c:order val="11"/>
          <c:tx>
            <c:strRef>
              <c:f>'[Coverage enhancement仿真结果.xlsx]20200114-无跳频'!$A$532</c:f>
              <c:strCache>
                <c:ptCount val="1"/>
                <c:pt idx="0">
                  <c:v>Case 6:DMRS pattern 4 w/ joint channel estimation, w/ DMRS optimization, w/ FO, MCS0</c:v>
                </c:pt>
              </c:strCache>
            </c:strRef>
          </c:tx>
          <c:spPr>
            <a:ln w="28575" cap="rnd" cmpd="sng">
              <a:solidFill>
                <a:schemeClr val="accent6">
                  <a:lumMod val="60000"/>
                </a:schemeClr>
              </a:solidFill>
              <a:prstDash val="solid"/>
              <a:round/>
            </a:ln>
            <a:effectLst/>
            <a:sp3d contourW="28575"/>
          </c:spPr>
          <c:marker>
            <c:symbol val="circle"/>
            <c:size val="5"/>
            <c:spPr>
              <a:solidFill>
                <a:schemeClr val="accent6">
                  <a:lumMod val="60000"/>
                </a:schemeClr>
              </a:solidFill>
              <a:ln w="9525">
                <a:solidFill>
                  <a:schemeClr val="accent6">
                    <a:lumMod val="60000"/>
                  </a:schemeClr>
                </a:solidFill>
              </a:ln>
              <a:effectLst/>
            </c:spPr>
          </c:marker>
          <c:dLbls>
            <c:delete val="1"/>
          </c:dLbls>
          <c:cat>
            <c:numRef>
              <c:f>'[Coverage enhancement仿真结果.xlsx]20200114-无跳频'!$B$520:$G$520</c:f>
              <c:numCache>
                <c:formatCode>General</c:formatCode>
                <c:ptCount val="6"/>
                <c:pt idx="0">
                  <c:v>-20</c:v>
                </c:pt>
                <c:pt idx="1">
                  <c:v>-18</c:v>
                </c:pt>
                <c:pt idx="2">
                  <c:v>-16</c:v>
                </c:pt>
                <c:pt idx="3">
                  <c:v>-14</c:v>
                </c:pt>
                <c:pt idx="4">
                  <c:v>-12</c:v>
                </c:pt>
                <c:pt idx="5">
                  <c:v>-10</c:v>
                </c:pt>
              </c:numCache>
            </c:numRef>
          </c:cat>
          <c:val>
            <c:numRef>
              <c:f>'[Coverage enhancement仿真结果.xlsx]20200114-无跳频'!$B$532:$G$532</c:f>
              <c:numCache>
                <c:formatCode>General</c:formatCode>
                <c:ptCount val="6"/>
                <c:pt idx="0">
                  <c:v>0.65092</c:v>
                </c:pt>
                <c:pt idx="1">
                  <c:v>0.32426</c:v>
                </c:pt>
                <c:pt idx="2">
                  <c:v>0.13531</c:v>
                </c:pt>
                <c:pt idx="3">
                  <c:v>0.04163</c:v>
                </c:pt>
                <c:pt idx="4">
                  <c:v>0.0121</c:v>
                </c:pt>
                <c:pt idx="5">
                  <c:v>0</c:v>
                </c:pt>
              </c:numCache>
            </c:numRef>
          </c:val>
          <c:smooth val="0"/>
        </c:ser>
        <c:dLbls>
          <c:showLegendKey val="0"/>
          <c:showVal val="0"/>
          <c:showCatName val="0"/>
          <c:showSerName val="0"/>
          <c:showPercent val="0"/>
          <c:showBubbleSize val="0"/>
        </c:dLbls>
        <c:marker val="1"/>
        <c:smooth val="0"/>
        <c:axId val="276343789"/>
        <c:axId val="980509578"/>
        <c:extLst>
          <c:ext xmlns:c15="http://schemas.microsoft.com/office/drawing/2012/chart" uri="{02D57815-91ED-43cb-92C2-25804820EDAC}">
            <c15:filteredLineSeries>
              <c15:ser>
                <c:idx val="0"/>
                <c:order val="0"/>
                <c:tx>
                  <c:strRef>
                    <c:extLst>
                      <c:ext uri="{02D57815-91ED-43cb-92C2-25804820EDAC}">
                        <c15:formulaRef>
                          <c15:sqref>'[Coverage enhancement仿真结果.xlsx]20200114-无跳频'!$A$521</c15:sqref>
                        </c15:formulaRef>
                      </c:ext>
                    </c:extLst>
                    <c:strCache>
                      <c:ptCount val="1"/>
                      <c:pt idx="0">
                        <c:v>Case 1:DMRS pattern 1 w/o joint channel estimation w/o FO, (Baseline 1, MCS0)</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extLst>
                      <c:ext uri="{02D57815-91ED-43cb-92C2-25804820EDAC}">
                        <c15:fullRef>
                          <c15:sqref/>
                        </c15:fullRef>
                        <c15:formulaRef>
                          <c15:sqref>'[Coverage enhancement仿真结果.xlsx]20200114-无跳频'!$B$520:$G$520</c15:sqref>
                        </c15:formulaRef>
                      </c:ext>
                    </c:extLst>
                    <c:numCache>
                      <c:formatCode>General</c:formatCode>
                      <c:ptCount val="6"/>
                      <c:pt idx="0">
                        <c:v>-20</c:v>
                      </c:pt>
                      <c:pt idx="1">
                        <c:v>-18</c:v>
                      </c:pt>
                      <c:pt idx="2">
                        <c:v>-16</c:v>
                      </c:pt>
                      <c:pt idx="3">
                        <c:v>-14</c:v>
                      </c:pt>
                      <c:pt idx="4">
                        <c:v>-12</c:v>
                      </c:pt>
                      <c:pt idx="5">
                        <c:v>-10</c:v>
                      </c:pt>
                    </c:numCache>
                  </c:numRef>
                </c:cat>
                <c:val>
                  <c:numRef>
                    <c:extLst>
                      <c:ext uri="{02D57815-91ED-43cb-92C2-25804820EDAC}">
                        <c15:formulaRef>
                          <c15:sqref>{0.95997,0.78143,0.45156,0.17694,0.05284,0.01201}</c15:sqref>
                        </c15:formulaRef>
                      </c:ext>
                    </c:extLst>
                    <c:numCache>
                      <c:formatCode>General</c:formatCode>
                      <c:ptCount val="6"/>
                      <c:pt idx="0">
                        <c:v>0.95997</c:v>
                      </c:pt>
                      <c:pt idx="1">
                        <c:v>0.78143</c:v>
                      </c:pt>
                      <c:pt idx="2">
                        <c:v>0.45156</c:v>
                      </c:pt>
                      <c:pt idx="3">
                        <c:v>0.17694</c:v>
                      </c:pt>
                      <c:pt idx="4">
                        <c:v>0.05284</c:v>
                      </c:pt>
                      <c:pt idx="5">
                        <c:v>0.01201</c:v>
                      </c:pt>
                    </c:numCache>
                  </c:numRef>
                </c:val>
                <c:smooth val="0"/>
              </c15:ser>
            </c15:filteredLineSeries>
            <c15:filteredLineSeries>
              <c15:ser>
                <c:idx val="2"/>
                <c:order val="2"/>
                <c:tx>
                  <c:strRef>
                    <c:extLst>
                      <c:ext uri="{02D57815-91ED-43cb-92C2-25804820EDAC}">
                        <c15:formulaRef>
                          <c15:sqref>'[Coverage enhancement仿真结果.xlsx]20200114-无跳频'!$A$523</c15:sqref>
                        </c15:formulaRef>
                      </c:ext>
                    </c:extLst>
                    <c:strCache>
                      <c:ptCount val="1"/>
                      <c:pt idx="0">
                        <c:v>Case 2:DMRS pattern 2 w/o joint channel estimation w/o FO, (Baseline 2, MCS1)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extLst>
                      <c:ext uri="{02D57815-91ED-43cb-92C2-25804820EDAC}">
                        <c15:fullRef>
                          <c15:sqref/>
                        </c15:fullRef>
                        <c15:formulaRef>
                          <c15:sqref>'[Coverage enhancement仿真结果.xlsx]20200114-无跳频'!$B$520:$G$520</c15:sqref>
                        </c15:formulaRef>
                      </c:ext>
                    </c:extLst>
                    <c:numCache>
                      <c:formatCode>General</c:formatCode>
                      <c:ptCount val="6"/>
                      <c:pt idx="0">
                        <c:v>-20</c:v>
                      </c:pt>
                      <c:pt idx="1">
                        <c:v>-18</c:v>
                      </c:pt>
                      <c:pt idx="2">
                        <c:v>-16</c:v>
                      </c:pt>
                      <c:pt idx="3">
                        <c:v>-14</c:v>
                      </c:pt>
                      <c:pt idx="4">
                        <c:v>-12</c:v>
                      </c:pt>
                      <c:pt idx="5">
                        <c:v>-10</c:v>
                      </c:pt>
                    </c:numCache>
                  </c:numRef>
                </c:cat>
                <c:val>
                  <c:numRef>
                    <c:extLst>
                      <c:ext uri="{02D57815-91ED-43cb-92C2-25804820EDAC}">
                        <c15:formulaRef>
                          <c15:sqref>{0.94876,0.7454,0.40913,0.15773,0.05444,0.01361}</c15:sqref>
                        </c15:formulaRef>
                      </c:ext>
                    </c:extLst>
                    <c:numCache>
                      <c:formatCode>General</c:formatCode>
                      <c:ptCount val="6"/>
                      <c:pt idx="0">
                        <c:v>0.94876</c:v>
                      </c:pt>
                      <c:pt idx="1">
                        <c:v>0.7454</c:v>
                      </c:pt>
                      <c:pt idx="2">
                        <c:v>0.40913</c:v>
                      </c:pt>
                      <c:pt idx="3">
                        <c:v>0.15773</c:v>
                      </c:pt>
                      <c:pt idx="4">
                        <c:v>0.05444</c:v>
                      </c:pt>
                      <c:pt idx="5">
                        <c:v>0.01361</c:v>
                      </c:pt>
                    </c:numCache>
                  </c:numRef>
                </c:val>
                <c:smooth val="0"/>
              </c15:ser>
            </c15:filteredLineSeries>
            <c15:filteredLineSeries>
              <c15:ser>
                <c:idx val="4"/>
                <c:order val="4"/>
                <c:tx>
                  <c:strRef>
                    <c:extLst>
                      <c:ext uri="{02D57815-91ED-43cb-92C2-25804820EDAC}">
                        <c15:formulaRef>
                          <c15:sqref>'[Coverage enhancement仿真结果.xlsx]20200114-无跳频'!$A$525</c15:sqref>
                        </c15:formulaRef>
                      </c:ext>
                    </c:extLst>
                    <c:strCache>
                      <c:ptCount val="1"/>
                      <c:pt idx="0">
                        <c:v>Case 3:DMRS pattern 1 w/ joint channel estimation, w/o DMRS optimization, w/o FO, MCS0</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extLst>
                      <c:ext uri="{02D57815-91ED-43cb-92C2-25804820EDAC}">
                        <c15:fullRef>
                          <c15:sqref/>
                        </c15:fullRef>
                        <c15:formulaRef>
                          <c15:sqref>'[Coverage enhancement仿真结果.xlsx]20200114-无跳频'!$B$520:$G$520</c15:sqref>
                        </c15:formulaRef>
                      </c:ext>
                    </c:extLst>
                    <c:numCache>
                      <c:formatCode>General</c:formatCode>
                      <c:ptCount val="6"/>
                      <c:pt idx="0">
                        <c:v>-20</c:v>
                      </c:pt>
                      <c:pt idx="1">
                        <c:v>-18</c:v>
                      </c:pt>
                      <c:pt idx="2">
                        <c:v>-16</c:v>
                      </c:pt>
                      <c:pt idx="3">
                        <c:v>-14</c:v>
                      </c:pt>
                      <c:pt idx="4">
                        <c:v>-12</c:v>
                      </c:pt>
                      <c:pt idx="5">
                        <c:v>-10</c:v>
                      </c:pt>
                    </c:numCache>
                  </c:numRef>
                </c:cat>
                <c:val>
                  <c:numRef>
                    <c:extLst>
                      <c:ext uri="{02D57815-91ED-43cb-92C2-25804820EDAC}">
                        <c15:formulaRef>
                          <c15:sqref>{0.67574,0.34988,0.15052,0.05524,#N/A,#N/A}</c15:sqref>
                        </c15:formulaRef>
                      </c:ext>
                    </c:extLst>
                    <c:numCache>
                      <c:formatCode>General</c:formatCode>
                      <c:ptCount val="6"/>
                      <c:pt idx="0">
                        <c:v>0.67574</c:v>
                      </c:pt>
                      <c:pt idx="1">
                        <c:v>0.34988</c:v>
                      </c:pt>
                      <c:pt idx="2">
                        <c:v>0.15052</c:v>
                      </c:pt>
                      <c:pt idx="3">
                        <c:v>0.05524</c:v>
                      </c:pt>
                    </c:numCache>
                  </c:numRef>
                </c:val>
                <c:smooth val="0"/>
              </c15:ser>
            </c15:filteredLineSeries>
            <c15:filteredLineSeries>
              <c15:ser>
                <c:idx val="6"/>
                <c:order val="6"/>
                <c:tx>
                  <c:strRef>
                    <c:extLst>
                      <c:ext uri="{02D57815-91ED-43cb-92C2-25804820EDAC}">
                        <c15:formulaRef>
                          <c15:sqref>'[Coverage enhancement仿真结果.xlsx]20200114-无跳频'!$A$527</c15:sqref>
                        </c15:formulaRef>
                      </c:ext>
                    </c:extLst>
                    <c:strCache>
                      <c:ptCount val="1"/>
                      <c:pt idx="0">
                        <c:v>Case 4:DMRS pattern 2 w/ joint channel estimation, w/o DMRS optimization, w/o FO, MCS1</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cat>
                  <c:numRef>
                    <c:extLst>
                      <c:ext uri="{02D57815-91ED-43cb-92C2-25804820EDAC}">
                        <c15:fullRef>
                          <c15:sqref/>
                        </c15:fullRef>
                        <c15:formulaRef>
                          <c15:sqref>'[Coverage enhancement仿真结果.xlsx]20200114-无跳频'!$B$520:$G$520</c15:sqref>
                        </c15:formulaRef>
                      </c:ext>
                    </c:extLst>
                    <c:numCache>
                      <c:formatCode>General</c:formatCode>
                      <c:ptCount val="6"/>
                      <c:pt idx="0">
                        <c:v>-20</c:v>
                      </c:pt>
                      <c:pt idx="1">
                        <c:v>-18</c:v>
                      </c:pt>
                      <c:pt idx="2">
                        <c:v>-16</c:v>
                      </c:pt>
                      <c:pt idx="3">
                        <c:v>-14</c:v>
                      </c:pt>
                      <c:pt idx="4">
                        <c:v>-12</c:v>
                      </c:pt>
                      <c:pt idx="5">
                        <c:v>-10</c:v>
                      </c:pt>
                    </c:numCache>
                  </c:numRef>
                </c:cat>
                <c:val>
                  <c:numRef>
                    <c:extLst>
                      <c:ext uri="{02D57815-91ED-43cb-92C2-25804820EDAC}">
                        <c15:formulaRef>
                          <c15:sqref>{0.77662,0.44916,0.19376,0.06245,0.02162,0}</c15:sqref>
                        </c15:formulaRef>
                      </c:ext>
                    </c:extLst>
                    <c:numCache>
                      <c:formatCode>General</c:formatCode>
                      <c:ptCount val="6"/>
                      <c:pt idx="0">
                        <c:v>0.77662</c:v>
                      </c:pt>
                      <c:pt idx="1">
                        <c:v>0.44916</c:v>
                      </c:pt>
                      <c:pt idx="2">
                        <c:v>0.19376</c:v>
                      </c:pt>
                      <c:pt idx="3">
                        <c:v>0.06245</c:v>
                      </c:pt>
                      <c:pt idx="4">
                        <c:v>0.02162</c:v>
                      </c:pt>
                      <c:pt idx="5">
                        <c:v>0</c:v>
                      </c:pt>
                    </c:numCache>
                  </c:numRef>
                </c:val>
                <c:smooth val="0"/>
              </c15:ser>
            </c15:filteredLineSeries>
            <c15:filteredLineSeries>
              <c15:ser>
                <c:idx val="8"/>
                <c:order val="8"/>
                <c:tx>
                  <c:strRef>
                    <c:extLst>
                      <c:ext uri="{02D57815-91ED-43cb-92C2-25804820EDAC}">
                        <c15:formulaRef>
                          <c15:sqref>'[Coverage enhancement仿真结果.xlsx]20200114-无跳频'!$A$529</c15:sqref>
                        </c15:formulaRef>
                      </c:ext>
                    </c:extLst>
                    <c:strCache>
                      <c:ptCount val="1"/>
                      <c:pt idx="0">
                        <c:v>Case 5:DMRS pattern 3 w/ joint channel estimation, w/ DMRS optimization, w/o FO, MCS0</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dLbls>
                  <c:delete val="1"/>
                </c:dLbls>
                <c:cat>
                  <c:numRef>
                    <c:extLst>
                      <c:ext uri="{02D57815-91ED-43cb-92C2-25804820EDAC}">
                        <c15:fullRef>
                          <c15:sqref/>
                        </c15:fullRef>
                        <c15:formulaRef>
                          <c15:sqref>'[Coverage enhancement仿真结果.xlsx]20200114-无跳频'!$B$520:$G$520</c15:sqref>
                        </c15:formulaRef>
                      </c:ext>
                    </c:extLst>
                    <c:numCache>
                      <c:formatCode>General</c:formatCode>
                      <c:ptCount val="6"/>
                      <c:pt idx="0">
                        <c:v>-20</c:v>
                      </c:pt>
                      <c:pt idx="1">
                        <c:v>-18</c:v>
                      </c:pt>
                      <c:pt idx="2">
                        <c:v>-16</c:v>
                      </c:pt>
                      <c:pt idx="3">
                        <c:v>-14</c:v>
                      </c:pt>
                      <c:pt idx="4">
                        <c:v>-12</c:v>
                      </c:pt>
                      <c:pt idx="5">
                        <c:v>-10</c:v>
                      </c:pt>
                    </c:numCache>
                  </c:numRef>
                </c:cat>
                <c:val>
                  <c:numRef>
                    <c:extLst>
                      <c:ext uri="{02D57815-91ED-43cb-92C2-25804820EDAC}">
                        <c15:formulaRef>
                          <c15:sqref>{0.73979,0.43155,0.16894,0.06245,0.02162,0.0032}</c15:sqref>
                        </c15:formulaRef>
                      </c:ext>
                    </c:extLst>
                    <c:numCache>
                      <c:formatCode>General</c:formatCode>
                      <c:ptCount val="6"/>
                      <c:pt idx="0">
                        <c:v>0.73979</c:v>
                      </c:pt>
                      <c:pt idx="1">
                        <c:v>0.43155</c:v>
                      </c:pt>
                      <c:pt idx="2">
                        <c:v>0.16894</c:v>
                      </c:pt>
                      <c:pt idx="3">
                        <c:v>0.06245</c:v>
                      </c:pt>
                      <c:pt idx="4">
                        <c:v>0.02162</c:v>
                      </c:pt>
                      <c:pt idx="5">
                        <c:v>0.0032</c:v>
                      </c:pt>
                    </c:numCache>
                  </c:numRef>
                </c:val>
                <c:smooth val="0"/>
              </c15:ser>
            </c15:filteredLineSeries>
            <c15:filteredLineSeries>
              <c15:ser>
                <c:idx val="10"/>
                <c:order val="10"/>
                <c:tx>
                  <c:strRef>
                    <c:extLst>
                      <c:ext uri="{02D57815-91ED-43cb-92C2-25804820EDAC}">
                        <c15:formulaRef>
                          <c15:sqref>'[Coverage enhancement仿真结果.xlsx]20200114-无跳频'!$A$531</c15:sqref>
                        </c15:formulaRef>
                      </c:ext>
                    </c:extLst>
                    <c:strCache>
                      <c:ptCount val="1"/>
                      <c:pt idx="0">
                        <c:v>Case 6:DMRS pattern 4 w/ joint channel estimation, w/ DMRS optimization, w/o FO, MCS0</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dLbls>
                  <c:delete val="1"/>
                </c:dLbls>
                <c:cat>
                  <c:numRef>
                    <c:extLst>
                      <c:ext uri="{02D57815-91ED-43cb-92C2-25804820EDAC}">
                        <c15:fullRef>
                          <c15:sqref/>
                        </c15:fullRef>
                        <c15:formulaRef>
                          <c15:sqref>'[Coverage enhancement仿真结果.xlsx]20200114-无跳频'!$B$520:$G$520</c15:sqref>
                        </c15:formulaRef>
                      </c:ext>
                    </c:extLst>
                    <c:numCache>
                      <c:formatCode>General</c:formatCode>
                      <c:ptCount val="6"/>
                      <c:pt idx="0">
                        <c:v>-20</c:v>
                      </c:pt>
                      <c:pt idx="1">
                        <c:v>-18</c:v>
                      </c:pt>
                      <c:pt idx="2">
                        <c:v>-16</c:v>
                      </c:pt>
                      <c:pt idx="3">
                        <c:v>-14</c:v>
                      </c:pt>
                      <c:pt idx="4">
                        <c:v>-12</c:v>
                      </c:pt>
                      <c:pt idx="5">
                        <c:v>-10</c:v>
                      </c:pt>
                    </c:numCache>
                  </c:numRef>
                </c:cat>
                <c:val>
                  <c:numRef>
                    <c:extLst>
                      <c:ext uri="{02D57815-91ED-43cb-92C2-25804820EDAC}">
                        <c15:formulaRef>
                          <c15:sqref>{0.63571,0.31785,0.1193,0.04243,0.01121,0}</c15:sqref>
                        </c15:formulaRef>
                      </c:ext>
                    </c:extLst>
                    <c:numCache>
                      <c:formatCode>General</c:formatCode>
                      <c:ptCount val="6"/>
                      <c:pt idx="0">
                        <c:v>0.63571</c:v>
                      </c:pt>
                      <c:pt idx="1">
                        <c:v>0.31785</c:v>
                      </c:pt>
                      <c:pt idx="2">
                        <c:v>0.1193</c:v>
                      </c:pt>
                      <c:pt idx="3">
                        <c:v>0.04243</c:v>
                      </c:pt>
                      <c:pt idx="4">
                        <c:v>0.01121</c:v>
                      </c:pt>
                      <c:pt idx="5">
                        <c:v>0</c:v>
                      </c:pt>
                    </c:numCache>
                  </c:numRef>
                </c:val>
                <c:smooth val="0"/>
              </c15:ser>
            </c15:filteredLineSeries>
          </c:ext>
        </c:extLst>
      </c:lineChart>
      <c:catAx>
        <c:axId val="276343789"/>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0509578"/>
        <c:crossesAt val="0"/>
        <c:auto val="1"/>
        <c:lblAlgn val="ctr"/>
        <c:lblOffset val="100"/>
        <c:noMultiLvlLbl val="0"/>
      </c:catAx>
      <c:valAx>
        <c:axId val="980509578"/>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76343789"/>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052B0C2A-1627-499A-BDC9-127781D196CB}">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15</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2021-04-06T02:13:16Z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